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中国保险股低估值陷阱：利率下降50bp，安全边际还剩多少？</w:t>
      </w:r>
    </w:p>
    <w:p>
      <w:r>
        <w:t>中国权益与资本配置｜保险行业研究备忘录｜2026.10.23</w:t>
      </w:r>
    </w:p>
    <w:p>
      <w:r>
        <w:t>EV指内含价值；VIF指有效业务价值；P/EV指市价与每股内含价值之比；50个基点（50bp）为0.50个百分点。所有压力测试金额单位均为人民币亿元，股价观察区单位为港元。</w:t>
      </w:r>
    </w:p>
    <w:p>
      <w:pPr>
        <w:pStyle w:val="Heading1"/>
      </w:pPr>
      <w:r>
        <w:t>10秒结论</w:t>
      </w:r>
    </w:p>
    <w:p>
      <w:r>
        <w:t>低市价与内含价值比率不等于安全边际。先核对利率冲击、价值分母、资本及股息；三家公司披露的压力测试不能直接排名。</w:t>
      </w:r>
    </w:p>
    <w:p>
      <w:pPr>
        <w:pStyle w:val="Heading1"/>
      </w:pPr>
      <w:r>
        <w:t>研究摘要</w:t>
      </w:r>
    </w:p>
    <w:p>
      <w:r>
        <w:t>中国太保（02601.HK）、中国平安（02318.HK）与中国人寿（02628.HK）的低P/EV应结合寿险负债久期、投资回报假设、资本充足率及股息可持续性解读。不同公司披露的压力情景与估值层级不完全一致，不宜仅以单一估值倍数排序。 中国太平洋保险（集团）股份有限公司（02601.HK）是综合保险集团；中国平安保险（集团）股份有限公司（02318.HK）是综合金融集团；中国人寿保险股份有限公司（02628.HK）以寿险为主。本文以2026年6月30日披露为基础，讨论估值方法，不提供最新价格排序。下次验证重点是再投资回报、负债成本、资本充足率及分红覆盖。[1–3]</w:t>
      </w:r>
    </w:p>
    <w:p>
      <w:pPr>
        <w:pStyle w:val="Heading1"/>
      </w:pPr>
      <w:r>
        <w:t>从低估值到可验证安全边际</w:t>
      </w:r>
    </w:p>
    <w:p>
      <w:r>
        <w:t>冲击 — 先分清长期投资回报假设与即期市场利率。</w:t>
      </w:r>
    </w:p>
    <w:p>
      <w:r>
        <w:t>分母 — 确认集团内含价值、寿险内含价值或有效业务价值。</w:t>
      </w:r>
    </w:p>
    <w:p>
      <w:r>
        <w:t>资本 — 检查偿付能力、负债成本和资本来源。</w:t>
      </w:r>
    </w:p>
    <w:p>
      <w:r>
        <w:t>股东现金 — 核验实际股息、扣缴税率和买入价格。</w:t>
      </w:r>
    </w:p>
    <w:p>
      <w:pPr>
        <w:pStyle w:val="Heading1"/>
      </w:pPr>
      <w:r>
        <w:t>2026年中期披露的压力测试</w:t>
      </w:r>
    </w:p>
    <w:p>
      <w:pPr>
        <w:pStyle w:val="Heading2"/>
      </w:pPr>
      <w:r>
        <w:t>中国平安</w:t>
      </w:r>
    </w:p>
    <w:p>
      <w:r>
        <w:t>冲击定义: 长期投资收益率每年 -50bp</w:t>
      </w:r>
    </w:p>
    <w:p>
      <w:r>
        <w:t>受影响指标: 集团EV（亿元）</w:t>
      </w:r>
    </w:p>
    <w:p>
      <w:r>
        <w:t>基准: 15,678.00</w:t>
      </w:r>
    </w:p>
    <w:p>
      <w:r>
        <w:t>压力后: 14,170.88</w:t>
      </w:r>
    </w:p>
    <w:p>
      <w:r>
        <w:t>变动: -9.61%</w:t>
      </w:r>
    </w:p>
    <w:p>
      <w:pPr>
        <w:pStyle w:val="Heading2"/>
      </w:pPr>
      <w:r>
        <w:t>中国平安</w:t>
      </w:r>
    </w:p>
    <w:p>
      <w:r>
        <w:t>冲击定义: 长期投资收益率每年 -50bp</w:t>
      </w:r>
    </w:p>
    <w:p>
      <w:r>
        <w:t>受影响指标: 寿险及健康险EV（亿元）</w:t>
      </w:r>
    </w:p>
    <w:p>
      <w:r>
        <w:t>基准: 9,708.39</w:t>
      </w:r>
    </w:p>
    <w:p>
      <w:r>
        <w:t>压力后: 8,201.27</w:t>
      </w:r>
    </w:p>
    <w:p>
      <w:r>
        <w:t>变动: -15.52%</w:t>
      </w:r>
    </w:p>
    <w:p>
      <w:pPr>
        <w:pStyle w:val="Heading2"/>
      </w:pPr>
      <w:r>
        <w:t>中国平安</w:t>
      </w:r>
    </w:p>
    <w:p>
      <w:r>
        <w:t>冲击定义: 市场利率当期 -50bp</w:t>
      </w:r>
    </w:p>
    <w:p>
      <w:r>
        <w:t>受影响指标: 集团核心偿付能力充足率</w:t>
      </w:r>
    </w:p>
    <w:p>
      <w:r>
        <w:t>基准: 165.6%</w:t>
      </w:r>
    </w:p>
    <w:p>
      <w:r>
        <w:t>压力后: 约164.1%</w:t>
      </w:r>
    </w:p>
    <w:p>
      <w:r>
        <w:t>变动: -1.5百分点</w:t>
      </w:r>
    </w:p>
    <w:p>
      <w:pPr>
        <w:pStyle w:val="Heading2"/>
      </w:pPr>
      <w:r>
        <w:t>中国太保</w:t>
      </w:r>
    </w:p>
    <w:p>
      <w:r>
        <w:t>冲击定义: 长期投资收益率假设 -50bp</w:t>
      </w:r>
    </w:p>
    <w:p>
      <w:r>
        <w:t>受影响指标: 寿险有效业务价值（亿元）</w:t>
      </w:r>
    </w:p>
    <w:p>
      <w:r>
        <w:t>基准: 2,551.22</w:t>
      </w:r>
    </w:p>
    <w:p>
      <w:r>
        <w:t>压力后: 1,856.84</w:t>
      </w:r>
    </w:p>
    <w:p>
      <w:r>
        <w:t>变动: -27.22%</w:t>
      </w:r>
    </w:p>
    <w:p>
      <w:pPr>
        <w:pStyle w:val="Heading2"/>
      </w:pPr>
      <w:r>
        <w:t>中国人寿</w:t>
      </w:r>
    </w:p>
    <w:p>
      <w:r>
        <w:t>冲击定义: 投资回报率假设相对 -10%</w:t>
      </w:r>
    </w:p>
    <w:p>
      <w:r>
        <w:t>受影响指标: 扣资本成本后有效业务价值（亿元）</w:t>
      </w:r>
    </w:p>
    <w:p>
      <w:r>
        <w:t>基准: 5,668.12</w:t>
      </w:r>
    </w:p>
    <w:p>
      <w:r>
        <w:t>压力后: 4,259.52</w:t>
      </w:r>
    </w:p>
    <w:p>
      <w:r>
        <w:t>变动: -24.85%</w:t>
      </w:r>
    </w:p>
    <w:p>
      <w:r>
        <w:t>警示：三家公司披露的冲击单位、估值层级及分母不同；不得将寿险有效业务价值降幅直接当作集团EV降幅，更不能直接当作股价跌幅。中国人寿“回报率下降10%”是相对变动，并非下降50bp。 平安百分比根据披露的基准及压力值重新计算，四舍五入至两位小数；公司表中为一位小数。[1–3]</w:t>
      </w:r>
    </w:p>
    <w:p>
      <w:pPr>
        <w:pStyle w:val="Heading1"/>
      </w:pPr>
      <w:r>
        <w:t>股息税务情景</w:t>
      </w:r>
    </w:p>
    <w:p>
      <w:pPr>
        <w:pStyle w:val="Heading2"/>
      </w:pPr>
      <w:r>
        <w:t>内地个人港股通持有H股</w:t>
      </w:r>
    </w:p>
    <w:p>
      <w:r>
        <w:t>税务情景: 20%代扣</w:t>
      </w:r>
    </w:p>
    <w:p>
      <w:r>
        <w:t>若毛股息率为5%，示例净率: 4.0%</w:t>
      </w:r>
    </w:p>
    <w:p>
      <w:pPr>
        <w:pStyle w:val="Heading2"/>
      </w:pPr>
      <w:r>
        <w:t>经香港券商直接持有H股（示意）</w:t>
      </w:r>
    </w:p>
    <w:p>
      <w:r>
        <w:t>税务情景: 假设股息代扣10%（非通用税率）</w:t>
      </w:r>
    </w:p>
    <w:p>
      <w:r>
        <w:t>若毛股息率为5%，示例净率: 4.5%</w:t>
      </w:r>
    </w:p>
    <w:p>
      <w:pPr>
        <w:pStyle w:val="Heading2"/>
      </w:pPr>
      <w:r>
        <w:t>经香港券商直接持有H股（示意）</w:t>
      </w:r>
    </w:p>
    <w:p>
      <w:r>
        <w:t>税务情景: 假设股息代扣20%（非通用税率）</w:t>
      </w:r>
    </w:p>
    <w:p>
      <w:r>
        <w:t>若毛股息率为5%，示例净率: 4.0%</w:t>
      </w:r>
    </w:p>
    <w:p>
      <w:pPr>
        <w:pStyle w:val="Heading2"/>
      </w:pPr>
      <w:r>
        <w:t>其他合规路径</w:t>
      </w:r>
    </w:p>
    <w:p>
      <w:r>
        <w:t>税务情景: 依实际扣缴凭证</w:t>
      </w:r>
    </w:p>
    <w:p>
      <w:r>
        <w:t>若毛股息率为5%，示例净率: 暂不填</w:t>
      </w:r>
    </w:p>
    <w:p>
      <w:r>
        <w:t>毛股息率5%仅为假设，净率为扣缴环节的示意，未包含可能的居民地补税、抵免及费用。20%港股通规则见财税〔2014〕81号；个人实际适用性须单独核对。[4]</w:t>
      </w:r>
    </w:p>
    <w:p>
      <w:pPr>
        <w:pStyle w:val="Heading1"/>
      </w:pPr>
      <w:r>
        <w:t>历史估值研究观察区</w:t>
      </w:r>
    </w:p>
    <w:p>
      <w:pPr>
        <w:pStyle w:val="Heading2"/>
      </w:pPr>
      <w:r>
        <w:t>中国太保H 02601</w:t>
      </w:r>
    </w:p>
    <w:p>
      <w:r>
        <w:t>历史研究观察区（港币）: 21.0–23.3</w:t>
      </w:r>
    </w:p>
    <w:p>
      <w:r>
        <w:t>价格区间有效性限制: 仅供估值观察；须同步核对EV压力、资本充足率、股息及业务趋势</w:t>
      </w:r>
    </w:p>
    <w:p>
      <w:pPr>
        <w:pStyle w:val="Heading2"/>
      </w:pPr>
      <w:r>
        <w:t>中国平安H 02318</w:t>
      </w:r>
    </w:p>
    <w:p>
      <w:r>
        <w:t>历史研究观察区（港币）: 38.6–43.7</w:t>
      </w:r>
    </w:p>
    <w:p>
      <w:r>
        <w:t>价格区间有效性限制: 仅供估值观察；须同步核对集团EV、营运利润、银行信用风险及分红覆盖</w:t>
      </w:r>
    </w:p>
    <w:p>
      <w:pPr>
        <w:pStyle w:val="Heading2"/>
      </w:pPr>
      <w:r>
        <w:t>中国人寿H 02628</w:t>
      </w:r>
    </w:p>
    <w:p>
      <w:r>
        <w:t>历史研究观察区（港币）: 不设主动建仓价</w:t>
      </w:r>
    </w:p>
    <w:p>
      <w:r>
        <w:t>价格区间有效性限制: 行业对照；本研究不提供价格触发结论</w:t>
      </w:r>
    </w:p>
    <w:p>
      <w:r>
        <w:t>沿用原稿历史研究区间，区间最初形成日期及完整估值推导未提供；不作为2026年10月23日的有效买入价或当前估值结论。</w:t>
      </w:r>
    </w:p>
    <w:p>
      <w:pPr>
        <w:pStyle w:val="Heading1"/>
      </w:pPr>
      <w:r>
        <w:t>利率下行如何影响价值</w:t>
      </w:r>
    </w:p>
    <w:p>
      <w:r>
        <w:t>长期投资回报假设变化影响未来保险合同利润折现；市场利率即期下跌影响债券价格、保险负债估值、资产负债久期缺口及偿付能力。两种情景不能相加为同一损失，也不能假设结果线性。 长期投资回报假设主要改变未来投资收益及相关合同利润的预测；风险贴现率是另一项独立假设。低利率可以在短期抬升债券价格，却削弱长期再投资收益，因此单一方向的股价结论并不成立。</w:t>
      </w:r>
    </w:p>
    <w:p>
      <w:pPr>
        <w:pStyle w:val="Heading1"/>
      </w:pPr>
      <w:r>
        <w:t>太保与国寿的比较边界</w:t>
      </w:r>
    </w:p>
    <w:p>
      <w:r>
        <w:t>2026-06-30太保集团EV 6,369.38亿元；寿险扣资本成本后的有效业务价值2,551.22亿元。若仅作为机械示意，将寿险有效业务价值减少694.38亿元，集团权益占比98.29%，则集团EV的静态影响约682.5亿元（约-10.7%）。这是“仅此项目变化”的示意计算，未考虑其他资产、资本、税、模型联动和分散效应，不是公司官方集团压力测试结果，不得作为正式压力EV。 2026-06-30集团EV 16,142.07亿元；扣资本成本后的有效业务价值5,668.12亿元。公司披露投资回报率假设相对下降10%时，该业务价值降至4,259.52亿元。因缺少对应基准回报率和完整模型，不进行“相对10%→绝对50bp”的线性换算。 [2–3] 太保示意计算为(2,551.22−1,856.84)×98.29%=682.506亿元，再除以6,369.38亿元得10.72%。国寿16,142.07亿元为公司内含价值口径，不能与其5,668.12亿元有效业务价值混用。</w:t>
      </w:r>
    </w:p>
    <w:p>
      <w:pPr>
        <w:pStyle w:val="Heading1"/>
      </w:pPr>
      <w:r>
        <w:t>股息现金回报与税务身份</w:t>
      </w:r>
    </w:p>
    <w:p>
      <w:r>
        <w:t>经香港券商直接持有H股，与经内地港股通持有H股，可能适用不同的股息扣缴路径。实际税负取决于发行人扣缴规则、持有人税务居民身份、登记安排及适用税收协定。香港券商账户并不自动意味着股息零税。以下仅列示一般情景，不构成个别税务建议。 税后股息率应按“实际年度现金股息÷同期买入价格×（1－适用股息扣缴税率）”计算。若税务身份及实际扣缴凭证未核实，须同时披露税前收益率与情景税后收益率。 原稿公式中的股息与价格须换算为同一币种；若已使用实际净到账股息，不应再次扣减税款。应区分源头扣缴与投资者最终总税负。[4]</w:t>
      </w:r>
    </w:p>
    <w:p>
      <w:pPr>
        <w:pStyle w:val="Heading1"/>
      </w:pPr>
      <w:r>
        <w:t>历史价格观察区的使用限制</w:t>
      </w:r>
    </w:p>
    <w:p>
      <w:r>
        <w:t>以下价格为历史估值研究观察区，尚未根据最新价格、汇率及精算假设更新。触及区间并不必然意味着具备投资价值；须同步核验EV压力、资本充足率、经营趋势和分红覆盖。研究区间不是交易指令或保证回报。 本文未核验最新A/H股价格、汇率或最新P/EV，因此不计算当期安全边际，不将历史区间升级为当前评级。</w:t>
      </w:r>
    </w:p>
    <w:p>
      <w:pPr>
        <w:pStyle w:val="Heading1"/>
      </w:pPr>
      <w:r>
        <w:t>行业共同风险与反方证据</w:t>
      </w:r>
    </w:p>
    <w:p>
      <w:r>
        <w:t>保险板块股票共同暴露于长期利率、权益市场波动、信用利差、寿险负债成本及监管资本规则等因素。多只保险股的持有并不自动带来充分分散。中国太保与中国平安在寿险、财险及综合金融业务构成上存在差异，需按业务分部和资本来源进行对照。 与谨慎观点相对的证据包括新业务价值改善、负债成本下降和分红覆盖增强；若这些改善持续且经可比口径验证，低估值可能具有合理吸引力。反之，回报假设下修、信用损失或资本缓冲收窄会削弱安全边际。</w:t>
      </w:r>
    </w:p>
    <w:p>
      <w:pPr>
        <w:pStyle w:val="Heading1"/>
      </w:pPr>
      <w:r>
        <w:t>研究限制与下一验证点</w:t>
      </w:r>
    </w:p>
    <w:p>
      <w:r>
        <w:t>截至2026年10月23日，本稿核对中期敏感性表及税收政策来源，未建立统一精算模型，也未刷新股价和历史区间。公司披露属于情景测试，不是损失预测。新增证据应以带日期的后续研究记录保留判断演进，不能覆盖历史结论。原始Word研究稿保留供复核；其草稿状态仅反映交付时点。</w:t>
      </w:r>
    </w:p>
    <w:p>
      <w:pPr>
        <w:pStyle w:val="Heading1"/>
      </w:pPr>
      <w:r>
        <w:t>FAQ</w:t>
      </w:r>
    </w:p>
    <w:p>
      <w:pPr>
        <w:pStyle w:val="Heading2"/>
      </w:pPr>
      <w:r>
        <w:t>下降50个基点是否意味着三家公司同样受冲击？</w:t>
      </w:r>
    </w:p>
    <w:p>
      <w:r>
        <w:t>不。平安与太保的相关情景为长期投资回报假设下调50个基点，但价值层级不同；国寿相关披露为投资回报率相对下降10%。不能直接比较降幅。</w:t>
      </w:r>
    </w:p>
    <w:p>
      <w:pPr>
        <w:pStyle w:val="Heading2"/>
      </w:pPr>
      <w:r>
        <w:t>太保−27.22%能直接当作集团EV或股价跌幅吗？</w:t>
      </w:r>
    </w:p>
    <w:p>
      <w:r>
        <w:t>不能。该数字指寿险扣资本成本后有效业务价值，集团EV还含调整后净资产及其他业务；股价更受市场预期与估值影响。</w:t>
      </w:r>
    </w:p>
    <w:p>
      <w:pPr>
        <w:pStyle w:val="Heading2"/>
      </w:pPr>
      <w:r>
        <w:t>香港券商账户是否意味着股息零税？</w:t>
      </w:r>
    </w:p>
    <w:p>
      <w:r>
        <w:t>不是。扣缴与最终税负取决于税务居民身份、登记安排、发行人规则和税收协定；港股通内地个人H股股息一般涉及20%代扣。</w:t>
      </w:r>
    </w:p>
    <w:p>
      <w:pPr>
        <w:pStyle w:val="Heading2"/>
      </w:pPr>
      <w:r>
        <w:t>历史价格区间还能直接使用吗？</w:t>
      </w:r>
    </w:p>
    <w:p>
      <w:r>
        <w:t>不能。区间未按最新股价、汇率与精算假设更新，也未提供最初形成日期及完整推导，只保留为历史估值研究观察。</w:t>
      </w:r>
    </w:p>
    <w:p>
      <w:pPr>
        <w:pStyle w:val="Heading1"/>
      </w:pPr>
      <w:r>
        <w:t>来源</w:t>
      </w:r>
    </w:p>
    <w:p>
      <w:r>
        <w:t>[1] 中国平安｜2026年中期业绩报告｜第55–56页</w:t>
        <w:br/>
        <w:t>https://static.cninfo.com.cn/finalpage/2026-08-21/1225487472.PDF</w:t>
      </w:r>
    </w:p>
    <w:p>
      <w:r>
        <w:t>[2] 中国太保｜2026年半年度报告｜第41、45页</w:t>
        <w:br/>
        <w:t>https://static.cninfo.com.cn/finalpage/2026-08-28/1225518250.PDF</w:t>
      </w:r>
    </w:p>
    <w:p>
      <w:r>
        <w:t>[3] 中国人寿｜2026年半年度报告原件镜像｜第23–25页</w:t>
        <w:br/>
        <w:t>https://file.finance.sina.com.cn/211.154.219.97:9494/MRGG/CNSESH_STOCK/2026/2026-8/2026-08-28/12556641.PDF</w:t>
      </w:r>
    </w:p>
    <w:p>
      <w:r>
        <w:t>[4] 国家税务总局｜财税〔2014〕81号｜股息红利政策</w:t>
        <w:br/>
        <w:t>https://fgk.chinatax.gov.cn/zcfgk/c102416/c5204006/content.html</w:t>
      </w:r>
    </w:p>
    <w:p>
      <w:r>
        <w:t>仅供公开研究与教育，不构成个性化投资或税务建议。保留原稿数据、研究结论及历史区间；不包含客户身份、持仓或执行指令。</w:t>
      </w:r>
    </w:p>
    <w:p>
      <w:r>
        <w:t>中文网页: https://acisresearch.com/investment-intelligence/china-equity/china-insurers-embedded-value-rate-stress-2026-10-23</w:t>
      </w:r>
    </w:p>
    <w:p>
      <w:r>
        <w:br w:type="page"/>
      </w:r>
    </w:p>
    <w:p>
      <w:pPr>
        <w:pStyle w:val="Title"/>
      </w:pPr>
      <w:r>
        <w:t>China Insurers and the Low-Valuation Trap: What Remains After a 50bp Rate Shock?</w:t>
      </w:r>
    </w:p>
    <w:p>
      <w:r>
        <w:t>China Equity / Capital Allocation | Insurance Research Memo | 23 October 2026</w:t>
      </w:r>
    </w:p>
    <w:p>
      <w:r>
        <w:t>EV means embedded value; VIF means value of in-force business; P/EV means price divided by embedded value per share. A 50 basis point change equals 0.50 percentage points. Monetary sensitivity figures are in RMB 100 million; historical share-price ranges are in HK dollars.</w:t>
      </w:r>
    </w:p>
    <w:p>
      <w:pPr>
        <w:pStyle w:val="Heading1"/>
      </w:pPr>
      <w:r>
        <w:t>Ten second conclusion</w:t>
      </w:r>
    </w:p>
    <w:p>
      <w:r>
        <w:t>A low price-to-embedded-value ratio is not sufficient evidence of a margin of safety. Shock definitions, valuation denominators, capital and dividends must be checked before comparing insurers.</w:t>
      </w:r>
    </w:p>
    <w:p>
      <w:pPr>
        <w:pStyle w:val="Heading1"/>
      </w:pPr>
      <w:r>
        <w:t>Research summary</w:t>
      </w:r>
    </w:p>
    <w:p>
      <w:r>
        <w:t>China Pacific Insurance (Group) Co., Ltd. (02601.HK), a diversified insurance group; Ping An Insurance (Group) Company of China, Ltd. (02318.HK), an integrated financial group; and China Life Insurance Company Limited (02628.HK), principally a life insurer, disclose different sensitivity definitions and value measures. This note uses 30 June 2026 disclosures to test valuation methodology rather than rank current share prices. Lower reinvestment returns, liability duration and capital requirements can offset an apparently low multiple. The next evidence to examine is reinvestment performance, liability costs, solvency and dividend coverage.[1–3]</w:t>
      </w:r>
    </w:p>
    <w:p>
      <w:pPr>
        <w:pStyle w:val="Heading1"/>
      </w:pPr>
      <w:r>
        <w:t>From a low multiple to a verifiable margin of safety</w:t>
      </w:r>
    </w:p>
    <w:p>
      <w:r>
        <w:t>Shock — Separate long-term return assumptions from immediate market-rate changes.</w:t>
      </w:r>
    </w:p>
    <w:p>
      <w:r>
        <w:t>Denominator — Identify group EV, life EV or in-force business value.</w:t>
      </w:r>
    </w:p>
    <w:p>
      <w:r>
        <w:t>Capital — Test solvency, liability costs and sources of capital.</w:t>
      </w:r>
    </w:p>
    <w:p>
      <w:r>
        <w:t>Shareholder cash — Check actual dividends, withholding and the purchase price.</w:t>
      </w:r>
    </w:p>
    <w:p>
      <w:pPr>
        <w:pStyle w:val="Heading1"/>
      </w:pPr>
      <w:r>
        <w:t>Disclosed interim 2026 sensitivity tests</w:t>
      </w:r>
    </w:p>
    <w:p>
      <w:pPr>
        <w:pStyle w:val="Heading2"/>
      </w:pPr>
      <w:r>
        <w:t>Ping An</w:t>
      </w:r>
    </w:p>
    <w:p>
      <w:r>
        <w:t>Shock definition: Annual long-term investment return −50bp</w:t>
      </w:r>
    </w:p>
    <w:p>
      <w:r>
        <w:t>Affected measure: Group EV (RMB 100m)</w:t>
      </w:r>
    </w:p>
    <w:p>
      <w:r>
        <w:t>Baseline: 15,678.00</w:t>
      </w:r>
    </w:p>
    <w:p>
      <w:r>
        <w:t>Stressed: 14,170.88</w:t>
      </w:r>
    </w:p>
    <w:p>
      <w:r>
        <w:t>Change: −9.61%</w:t>
      </w:r>
    </w:p>
    <w:p>
      <w:pPr>
        <w:pStyle w:val="Heading2"/>
      </w:pPr>
      <w:r>
        <w:t>Ping An</w:t>
      </w:r>
    </w:p>
    <w:p>
      <w:r>
        <w:t>Shock definition: Annual long-term investment return −50bp</w:t>
      </w:r>
    </w:p>
    <w:p>
      <w:r>
        <w:t>Affected measure: Life and health EV (RMB 100m)</w:t>
      </w:r>
    </w:p>
    <w:p>
      <w:r>
        <w:t>Baseline: 9,708.39</w:t>
      </w:r>
    </w:p>
    <w:p>
      <w:r>
        <w:t>Stressed: 8,201.27</w:t>
      </w:r>
    </w:p>
    <w:p>
      <w:r>
        <w:t>Change: −15.52%</w:t>
      </w:r>
    </w:p>
    <w:p>
      <w:pPr>
        <w:pStyle w:val="Heading2"/>
      </w:pPr>
      <w:r>
        <w:t>Ping An</w:t>
      </w:r>
    </w:p>
    <w:p>
      <w:r>
        <w:t>Shock definition: Immediate market interest rate −50bp</w:t>
      </w:r>
    </w:p>
    <w:p>
      <w:r>
        <w:t>Affected measure: Group core solvency ratio</w:t>
      </w:r>
    </w:p>
    <w:p>
      <w:r>
        <w:t>Baseline: 165.6%</w:t>
      </w:r>
    </w:p>
    <w:p>
      <w:r>
        <w:t>Stressed: About 164.1%</w:t>
      </w:r>
    </w:p>
    <w:p>
      <w:r>
        <w:t>Change: −1.5 percentage points</w:t>
      </w:r>
    </w:p>
    <w:p>
      <w:pPr>
        <w:pStyle w:val="Heading2"/>
      </w:pPr>
      <w:r>
        <w:t>CPIC</w:t>
      </w:r>
    </w:p>
    <w:p>
      <w:r>
        <w:t>Shock definition: Investment-return assumption −50bp</w:t>
      </w:r>
    </w:p>
    <w:p>
      <w:r>
        <w:t>Affected measure: Life VIF after capital costs (RMB 100m)</w:t>
      </w:r>
    </w:p>
    <w:p>
      <w:r>
        <w:t>Baseline: 2,551.22</w:t>
      </w:r>
    </w:p>
    <w:p>
      <w:r>
        <w:t>Stressed: 1,856.84</w:t>
      </w:r>
    </w:p>
    <w:p>
      <w:r>
        <w:t>Change: −27.22%</w:t>
      </w:r>
    </w:p>
    <w:p>
      <w:pPr>
        <w:pStyle w:val="Heading2"/>
      </w:pPr>
      <w:r>
        <w:t>China Life</w:t>
      </w:r>
    </w:p>
    <w:p>
      <w:r>
        <w:t>Shock definition: Investment-return assumption: relative −10%</w:t>
      </w:r>
    </w:p>
    <w:p>
      <w:r>
        <w:t>Affected measure: VIF after capital costs (RMB 100m)</w:t>
      </w:r>
    </w:p>
    <w:p>
      <w:r>
        <w:t>Baseline: 5,668.12</w:t>
      </w:r>
    </w:p>
    <w:p>
      <w:r>
        <w:t>Stressed: 4,259.52</w:t>
      </w:r>
    </w:p>
    <w:p>
      <w:r>
        <w:t>Change: −24.85%</w:t>
      </w:r>
    </w:p>
    <w:p>
      <w:r>
        <w:t>Shock units, value levels and denominators differ. A life VIF decline is not a group EV decline or a share-price forecast. Ping An percentages are recalculated from disclosed levels to two decimals; its source table rounds to one decimal.[1–3]</w:t>
      </w:r>
    </w:p>
    <w:p>
      <w:pPr>
        <w:pStyle w:val="Heading1"/>
      </w:pPr>
      <w:r>
        <w:t>Dividend withholding illustrations</w:t>
      </w:r>
    </w:p>
    <w:p>
      <w:pPr>
        <w:pStyle w:val="Heading2"/>
      </w:pPr>
      <w:r>
        <w:t>Mainland individual holding H shares through Stock Connect</w:t>
      </w:r>
    </w:p>
    <w:p>
      <w:r>
        <w:t>Tax scenario: 20% withholding</w:t>
      </w:r>
    </w:p>
    <w:p>
      <w:r>
        <w:t>Net yield if gross yield is 5%: 4.0%</w:t>
      </w:r>
    </w:p>
    <w:p>
      <w:pPr>
        <w:pStyle w:val="Heading2"/>
      </w:pPr>
      <w:r>
        <w:t>Direct holding through a Hong Kong broker</w:t>
      </w:r>
    </w:p>
    <w:p>
      <w:r>
        <w:t>Tax scenario: Assumed 10% withholding; not a universal rate</w:t>
      </w:r>
    </w:p>
    <w:p>
      <w:r>
        <w:t>Net yield if gross yield is 5%: 4.5%</w:t>
      </w:r>
    </w:p>
    <w:p>
      <w:pPr>
        <w:pStyle w:val="Heading2"/>
      </w:pPr>
      <w:r>
        <w:t>Direct holding through a Hong Kong broker</w:t>
      </w:r>
    </w:p>
    <w:p>
      <w:r>
        <w:t>Tax scenario: Assumed 20% withholding</w:t>
      </w:r>
    </w:p>
    <w:p>
      <w:r>
        <w:t>Net yield if gross yield is 5%: 4.0%</w:t>
      </w:r>
    </w:p>
    <w:p>
      <w:pPr>
        <w:pStyle w:val="Heading2"/>
      </w:pPr>
      <w:r>
        <w:t>Other eligible routes</w:t>
      </w:r>
    </w:p>
    <w:p>
      <w:r>
        <w:t>Tax scenario: Follow actual withholding documentation</w:t>
      </w:r>
    </w:p>
    <w:p>
      <w:r>
        <w:t>Net yield if gross yield is 5%: Not estimated</w:t>
      </w:r>
    </w:p>
    <w:p>
      <w:r>
        <w:t>The 5% gross yield is hypothetical. Net figures illustrate withholding only, excluding possible residence-country top-up tax, credits and fees. The Stock Connect rule is addressed in Circular 81; individual applicability requires verification.[4]</w:t>
      </w:r>
    </w:p>
    <w:p>
      <w:pPr>
        <w:pStyle w:val="Heading1"/>
      </w:pPr>
      <w:r>
        <w:t>Historical valuation research observation ranges</w:t>
      </w:r>
    </w:p>
    <w:p>
      <w:pPr>
        <w:pStyle w:val="Heading2"/>
      </w:pPr>
      <w:r>
        <w:t>CPIC H shares 02601</w:t>
      </w:r>
    </w:p>
    <w:p>
      <w:r>
        <w:t>Historical range (HK$): 21.0–23.3</w:t>
      </w:r>
    </w:p>
    <w:p>
      <w:r>
        <w:t>Validity limitation: Valuation observation only; recheck EV stress, solvency, dividends and operations</w:t>
      </w:r>
    </w:p>
    <w:p>
      <w:pPr>
        <w:pStyle w:val="Heading2"/>
      </w:pPr>
      <w:r>
        <w:t>Ping An H shares 02318</w:t>
      </w:r>
    </w:p>
    <w:p>
      <w:r>
        <w:t>Historical range (HK$): 38.6–43.7</w:t>
      </w:r>
    </w:p>
    <w:p>
      <w:r>
        <w:t>Validity limitation: Recheck group EV, operating profit, bank credit risk and dividend coverage</w:t>
      </w:r>
    </w:p>
    <w:p>
      <w:pPr>
        <w:pStyle w:val="Heading2"/>
      </w:pPr>
      <w:r>
        <w:t>China Life H shares 02628</w:t>
      </w:r>
    </w:p>
    <w:p>
      <w:r>
        <w:t>Historical range (HK$): No active entry price</w:t>
      </w:r>
    </w:p>
    <w:p>
      <w:r>
        <w:t>Validity limitation: Sector comparison; no price-trigger conclusion</w:t>
      </w:r>
    </w:p>
    <w:p>
      <w:r>
        <w:t>Ranges are retained from the supplied historical research. Their original formation date and complete valuation derivation were not provided. They are not current buy levels or a valuation conclusion as of 23 October 2026.</w:t>
      </w:r>
    </w:p>
    <w:p>
      <w:pPr>
        <w:pStyle w:val="Heading1"/>
      </w:pPr>
      <w:r>
        <w:t>How falling rates affect value</w:t>
      </w:r>
    </w:p>
    <w:p>
      <w:r>
        <w:t>A reduction in a long-term investment-return assumption changes forecasts of future investment income and related insurance profits. A change in the risk discount rate is a separate test. An immediate market-rate decline affects bond prices, liability measurement, duration gaps and solvency. These effects cannot simply be added, and linearity cannot be assumed. Lower rates may support bond prices initially while weakening long-term reinvestment returns, so a one-directional share-price conclusion is unjustified.</w:t>
      </w:r>
    </w:p>
    <w:p>
      <w:pPr>
        <w:pStyle w:val="Heading1"/>
      </w:pPr>
      <w:r>
        <w:t>Comparability limits for CPIC and China Life</w:t>
      </w:r>
    </w:p>
    <w:p>
      <w:r>
        <w:t>CPIC reported group EV of RMB 636.938 billion and life VIF after capital costs of RMB 255.122 billion at 30 June 2026. The VIF reduction of RMB 69.438 billion, multiplied by the group’s 98.29% ownership, gives RMB 68.251 billion, or about 10.72% of group EV. This is a mechanical illustration in which only that component changes; it excludes other assets, capital, tax, model interactions and diversification. It is not an official stressed group EV. China Life reported company EV of RMB 1,614.207 billion and VIF after capital costs of RMB 566.812 billion. Under its relative 10% return-assumption reduction, VIF falls to RMB 425.952 billion. This note does not linearly convert that shock to 50bp or substitute VIF for company EV.[2–3]</w:t>
      </w:r>
    </w:p>
    <w:p>
      <w:pPr>
        <w:pStyle w:val="Heading1"/>
      </w:pPr>
      <w:r>
        <w:t>Dividend cash returns and tax status</w:t>
      </w:r>
    </w:p>
    <w:p>
      <w:r>
        <w:t>Direct H-share holdings through a Hong Kong broker can have a different withholding route from mainland Stock Connect holdings. Actual treatment depends on issuer rules, tax residence, registration and applicable treaties. A Hong Kong brokerage account does not automatically imply zero tax. A withholding-adjusted yield is annual gross cash dividends divided by the contemporaneous purchase price, multiplied by one minus the applicable withholding rate. Use a common currency for dividends and price. Do not deduct withholding twice if the numerator is already net cash received. Source withholding is distinct from final total tax liability.[4]</w:t>
      </w:r>
    </w:p>
    <w:p>
      <w:pPr>
        <w:pStyle w:val="Heading1"/>
      </w:pPr>
      <w:r>
        <w:t>Limits on historical price ranges</w:t>
      </w:r>
    </w:p>
    <w:p>
      <w:r>
        <w:t>The CPIC and Ping An ranges are historical research observations, not refreshed estimates. Reaching them does not automatically create investment value. EV sensitivity, capital, operations and dividend coverage must also be verified. Current A/H prices, exchange rates and P/EV have not been independently refreshed here; no current margin of safety or rating is calculated.</w:t>
      </w:r>
    </w:p>
    <w:p>
      <w:pPr>
        <w:pStyle w:val="Heading1"/>
      </w:pPr>
      <w:r>
        <w:t>Common sector risks and opposing evidence</w:t>
      </w:r>
    </w:p>
    <w:p>
      <w:r>
        <w:t>Insurers share exposure to long-term rates, equity volatility, credit spreads, liability costs and capital regulation. Holding several insurance shares does not guarantee adequate diversification. CPIC and Ping An differ in life insurance, property and casualty insurance, and integrated finance; compare business segments and sources of capital. Sustained new-business value growth, lower liability costs and stronger dividend coverage could support an attractive valuation if verified consistently. Lower return assumptions, credit losses or thinner capital buffers would weaken that case.</w:t>
      </w:r>
    </w:p>
    <w:p>
      <w:pPr>
        <w:pStyle w:val="Heading1"/>
      </w:pPr>
      <w:r>
        <w:t>Research limits and the next verification</w:t>
      </w:r>
    </w:p>
    <w:p>
      <w:r>
        <w:t>As of 23 October 2026, this note checks interim sensitivity tables and tax-policy sources. It does not build a common actuarial model or refresh historical share-price ranges. Company sensitivities are scenarios, not loss forecasts. New evidence should be recorded in dated follow-up research rather than overwrite historical conclusions. The original Word draft is preserved for review; its draft label describes its delivery status at that time.</w:t>
      </w:r>
    </w:p>
    <w:p>
      <w:pPr>
        <w:pStyle w:val="Heading1"/>
      </w:pPr>
      <w:r>
        <w:t>FAQ</w:t>
      </w:r>
    </w:p>
    <w:p>
      <w:pPr>
        <w:pStyle w:val="Heading2"/>
      </w:pPr>
      <w:r>
        <w:t>Does a 50bp decline affect all three insurers in the same way?</w:t>
      </w:r>
    </w:p>
    <w:p>
      <w:r>
        <w:t>No. The relevant Ping An and CPIC return-assumption tests use 50bp, but their value measures differ. China Life discloses a relative 10% return-assumption reduction. The declines are not directly comparable.</w:t>
      </w:r>
    </w:p>
    <w:p>
      <w:pPr>
        <w:pStyle w:val="Heading2"/>
      </w:pPr>
      <w:r>
        <w:t>Can CPIC’s 27.22% decline be applied to group EV or its share price?</w:t>
      </w:r>
    </w:p>
    <w:p>
      <w:r>
        <w:t>No. It concerns life VIF after capital costs. Group EV includes adjusted net assets and other components, while the market price also reflects expectations and valuation.</w:t>
      </w:r>
    </w:p>
    <w:p>
      <w:pPr>
        <w:pStyle w:val="Heading2"/>
      </w:pPr>
      <w:r>
        <w:t>Does using a Hong Kong broker make dividends tax free?</w:t>
      </w:r>
    </w:p>
    <w:p>
      <w:r>
        <w:t>No. Withholding and final liability depend on residence, registration, issuer rules and treaties. Mainland individual H-share dividends through Stock Connect generally involve 20% withholding.</w:t>
      </w:r>
    </w:p>
    <w:p>
      <w:pPr>
        <w:pStyle w:val="Heading2"/>
      </w:pPr>
      <w:r>
        <w:t>Can the historical price ranges be used as current entry levels?</w:t>
      </w:r>
    </w:p>
    <w:p>
      <w:r>
        <w:t>No. They have not been refreshed for prices, FX or actuarial assumptions. Their original formation date and full derivation are unavailable; they remain historical research observations.</w:t>
      </w:r>
    </w:p>
    <w:p>
      <w:pPr>
        <w:pStyle w:val="Heading1"/>
      </w:pPr>
      <w:r>
        <w:t>Sources</w:t>
      </w:r>
    </w:p>
    <w:p>
      <w:r>
        <w:t>[1] Ping An | Interim 2026 Results | Pages 55–56</w:t>
        <w:br/>
        <w:t>https://static.cninfo.com.cn/finalpage/2026-08-21/1225487472.PDF</w:t>
      </w:r>
    </w:p>
    <w:p>
      <w:r>
        <w:t>[2] CPIC | Interim 2026 Report | Pages 41 and 45</w:t>
        <w:br/>
        <w:t>https://static.cninfo.com.cn/finalpage/2026-08-28/1225518250.PDF</w:t>
      </w:r>
    </w:p>
    <w:p>
      <w:r>
        <w:t>[3] China Life | Interim 2026 Report PDF Mirror | Pages 23–25</w:t>
        <w:br/>
        <w:t>https://file.finance.sina.com.cn/211.154.219.97:9494/MRGG/CNSESH_STOCK/2026/2026-8/2026-08-28/12556641.PDF</w:t>
      </w:r>
    </w:p>
    <w:p>
      <w:r>
        <w:t>[4] State Taxation Administration | Circular 81 (2014) | Dividends</w:t>
        <w:br/>
        <w:t>https://fgk.chinatax.gov.cn/zcfgk/c102416/c5204006/content.html</w:t>
      </w:r>
    </w:p>
    <w:p>
      <w:r>
        <w:t>Public research and education only; not personalized investment or tax advice. Original figures, conclusions and historical observation ranges are retained. No client information, holdings or execution instructions are included.</w:t>
      </w:r>
    </w:p>
    <w:p>
      <w:r>
        <w:t>English page: https://acisresearch.com/en/investment-intelligence/china-equity/china-insurers-embedded-value-rate-stress-2026-10-23</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t>ACIS Research | 2026-10-23 | Public Research</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Noto Sans CJK SC" w:hAnsi="Noto Sans CJK SC" w:eastAsia="Noto Sans CJK SC" w:cs="Noto Sans CJK S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rPr>
      <w:rFonts w:ascii="Noto Sans CJK SC" w:hAnsi="Noto Sans CJK SC" w:eastAsia="Noto Sans CJK SC" w:cs="Noto Sans CJK SC"/>
      <w:sz w:val="20"/>
    </w:r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rPr>
      <w:rFonts w:ascii="Noto Sans CJK SC" w:hAnsi="Noto Sans CJK SC" w:eastAsia="Noto Sans CJK SC" w:cs="Noto Sans CJK SC"/>
      <w:sz w:val="20"/>
    </w:r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Noto Sans CJK SC" w:hAnsi="Noto Sans CJK SC" w:eastAsia="Noto Sans CJK SC" w:cs="Noto Sans CJK SC"/>
      <w:b/>
      <w:bCs/>
      <w:color w:val="17283B"/>
      <w:sz w:val="2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Noto Sans CJK SC" w:hAnsi="Noto Sans CJK SC" w:eastAsia="Noto Sans CJK SC" w:cs="Noto Sans CJK SC"/>
      <w:b/>
      <w:bCs/>
      <w:color w:val="17283B"/>
      <w:sz w:val="20"/>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Noto Sans CJK SC" w:hAnsi="Noto Sans CJK SC" w:eastAsia="Noto Sans CJK SC" w:cs="Noto Sans CJK SC"/>
      <w:b/>
      <w:bCs/>
      <w:color w:val="4F81BD" w:themeColor="accent1"/>
      <w:sz w:val="20"/>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ascii="Noto Sans CJK SC" w:hAnsi="Noto Sans CJK SC" w:eastAsia="Noto Sans CJK SC" w:cs="Noto Sans CJK SC"/>
      <w:b/>
      <w:bCs/>
      <w:i/>
      <w:iCs/>
      <w:color w:val="4F81BD" w:themeColor="accent1"/>
      <w:sz w:val="2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ascii="Noto Sans CJK SC" w:hAnsi="Noto Sans CJK SC" w:eastAsia="Noto Sans CJK SC" w:cs="Noto Sans CJK SC"/>
      <w:color w:val="243F60" w:themeColor="accent1" w:themeShade="7F"/>
      <w:sz w:val="20"/>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ascii="Noto Sans CJK SC" w:hAnsi="Noto Sans CJK SC" w:eastAsia="Noto Sans CJK SC" w:cs="Noto Sans CJK SC"/>
      <w:i/>
      <w:iCs/>
      <w:color w:val="243F60" w:themeColor="accent1" w:themeShade="7F"/>
      <w:sz w:val="20"/>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ascii="Noto Sans CJK SC" w:hAnsi="Noto Sans CJK SC" w:eastAsia="Noto Sans CJK SC" w:cs="Noto Sans CJK SC"/>
      <w:i/>
      <w:iCs/>
      <w:color w:val="404040" w:themeColor="text1" w:themeTint="BF"/>
      <w:sz w:val="20"/>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ascii="Noto Sans CJK SC" w:hAnsi="Noto Sans CJK SC" w:eastAsia="Noto Sans CJK SC" w:cs="Noto Sans CJK SC"/>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ascii="Noto Sans CJK SC" w:hAnsi="Noto Sans CJK SC" w:eastAsia="Noto Sans CJK SC" w:cs="Noto Sans CJK SC"/>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rPr>
      <w:rFonts w:ascii="Noto Sans CJK SC" w:hAnsi="Noto Sans CJK SC" w:eastAsia="Noto Sans CJK SC" w:cs="Noto Sans CJK SC"/>
      <w:sz w:val="20"/>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Noto Sans CJK SC" w:hAnsi="Noto Sans CJK SC" w:eastAsia="Noto Sans CJK SC" w:cs="Noto Sans CJK SC"/>
      <w:color w:val="17283B"/>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Noto Sans CJK SC" w:hAnsi="Noto Sans CJK SC" w:eastAsia="Noto Sans CJK SC" w:cs="Noto Sans CJK SC"/>
      <w:i/>
      <w:iCs/>
      <w:color w:val="4F81BD" w:themeColor="accent1"/>
      <w:spacing w:val="15"/>
      <w:sz w:val="20"/>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rPr>
      <w:rFonts w:ascii="Noto Sans CJK SC" w:hAnsi="Noto Sans CJK SC" w:eastAsia="Noto Sans CJK SC" w:cs="Noto Sans CJK SC"/>
      <w:sz w:val="20"/>
    </w:rPr>
  </w:style>
  <w:style w:type="paragraph" w:styleId="BodyText">
    <w:name w:val="Body Text"/>
    <w:basedOn w:val="Normal"/>
    <w:link w:val="BodyTextChar"/>
    <w:uiPriority w:val="99"/>
    <w:unhideWhenUsed/>
    <w:rsid w:val="00AA1D8D"/>
    <w:pPr>
      <w:spacing w:after="120"/>
    </w:pPr>
    <w:rPr>
      <w:rFonts w:ascii="Noto Sans CJK SC" w:hAnsi="Noto Sans CJK SC" w:eastAsia="Noto Sans CJK SC" w:cs="Noto Sans CJK SC"/>
      <w:sz w:val="20"/>
    </w:r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rPr>
      <w:rFonts w:ascii="Noto Sans CJK SC" w:hAnsi="Noto Sans CJK SC" w:eastAsia="Noto Sans CJK SC" w:cs="Noto Sans CJK SC"/>
      <w:sz w:val="20"/>
    </w:r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Noto Sans CJK SC" w:hAnsi="Noto Sans CJK SC" w:eastAsia="Noto Sans CJK SC" w:cs="Noto Sans CJK SC"/>
      <w:sz w:val="20"/>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rPr>
      <w:rFonts w:ascii="Noto Sans CJK SC" w:hAnsi="Noto Sans CJK SC" w:eastAsia="Noto Sans CJK SC" w:cs="Noto Sans CJK SC"/>
      <w:sz w:val="20"/>
    </w:rPr>
  </w:style>
  <w:style w:type="paragraph" w:styleId="List2">
    <w:name w:val="List 2"/>
    <w:basedOn w:val="Normal"/>
    <w:uiPriority w:val="99"/>
    <w:unhideWhenUsed/>
    <w:rsid w:val="00326F90"/>
    <w:pPr>
      <w:ind w:left="720" w:hanging="360"/>
      <w:contextualSpacing/>
    </w:pPr>
    <w:rPr>
      <w:rFonts w:ascii="Noto Sans CJK SC" w:hAnsi="Noto Sans CJK SC" w:eastAsia="Noto Sans CJK SC" w:cs="Noto Sans CJK SC"/>
      <w:sz w:val="20"/>
    </w:rPr>
  </w:style>
  <w:style w:type="paragraph" w:styleId="List3">
    <w:name w:val="List 3"/>
    <w:basedOn w:val="Normal"/>
    <w:uiPriority w:val="99"/>
    <w:unhideWhenUsed/>
    <w:rsid w:val="00326F90"/>
    <w:pPr>
      <w:ind w:left="1080" w:hanging="360"/>
      <w:contextualSpacing/>
    </w:pPr>
    <w:rPr>
      <w:rFonts w:ascii="Noto Sans CJK SC" w:hAnsi="Noto Sans CJK SC" w:eastAsia="Noto Sans CJK SC" w:cs="Noto Sans CJK SC"/>
      <w:sz w:val="20"/>
    </w:rPr>
  </w:style>
  <w:style w:type="paragraph" w:styleId="ListBullet">
    <w:name w:val="List Bullet"/>
    <w:basedOn w:val="Normal"/>
    <w:uiPriority w:val="99"/>
    <w:unhideWhenUsed/>
    <w:rsid w:val="00326F90"/>
    <w:pPr>
      <w:numPr>
        <w:numId w:val="1"/>
      </w:numPr>
      <w:contextualSpacing/>
    </w:pPr>
    <w:rPr>
      <w:rFonts w:ascii="Noto Sans CJK SC" w:hAnsi="Noto Sans CJK SC" w:eastAsia="Noto Sans CJK SC" w:cs="Noto Sans CJK SC"/>
      <w:sz w:val="20"/>
    </w:rPr>
  </w:style>
  <w:style w:type="paragraph" w:styleId="ListBullet2">
    <w:name w:val="List Bullet 2"/>
    <w:basedOn w:val="Normal"/>
    <w:uiPriority w:val="99"/>
    <w:unhideWhenUsed/>
    <w:rsid w:val="00326F90"/>
    <w:pPr>
      <w:numPr>
        <w:numId w:val="2"/>
      </w:numPr>
      <w:contextualSpacing/>
    </w:pPr>
    <w:rPr>
      <w:rFonts w:ascii="Noto Sans CJK SC" w:hAnsi="Noto Sans CJK SC" w:eastAsia="Noto Sans CJK SC" w:cs="Noto Sans CJK SC"/>
      <w:sz w:val="20"/>
    </w:rPr>
  </w:style>
  <w:style w:type="paragraph" w:styleId="ListBullet3">
    <w:name w:val="List Bullet 3"/>
    <w:basedOn w:val="Normal"/>
    <w:uiPriority w:val="99"/>
    <w:unhideWhenUsed/>
    <w:rsid w:val="00326F90"/>
    <w:pPr>
      <w:numPr>
        <w:numId w:val="3"/>
      </w:numPr>
      <w:contextualSpacing/>
    </w:pPr>
    <w:rPr>
      <w:rFonts w:ascii="Noto Sans CJK SC" w:hAnsi="Noto Sans CJK SC" w:eastAsia="Noto Sans CJK SC" w:cs="Noto Sans CJK SC"/>
      <w:sz w:val="20"/>
    </w:rPr>
  </w:style>
  <w:style w:type="paragraph" w:styleId="ListNumber">
    <w:name w:val="List Number"/>
    <w:basedOn w:val="Normal"/>
    <w:uiPriority w:val="99"/>
    <w:unhideWhenUsed/>
    <w:rsid w:val="00326F90"/>
    <w:pPr>
      <w:numPr>
        <w:numId w:val="5"/>
      </w:numPr>
      <w:contextualSpacing/>
    </w:pPr>
    <w:rPr>
      <w:rFonts w:ascii="Noto Sans CJK SC" w:hAnsi="Noto Sans CJK SC" w:eastAsia="Noto Sans CJK SC" w:cs="Noto Sans CJK SC"/>
      <w:sz w:val="20"/>
    </w:rPr>
  </w:style>
  <w:style w:type="paragraph" w:styleId="ListNumber2">
    <w:name w:val="List Number 2"/>
    <w:basedOn w:val="Normal"/>
    <w:uiPriority w:val="99"/>
    <w:unhideWhenUsed/>
    <w:rsid w:val="0029639D"/>
    <w:pPr>
      <w:numPr>
        <w:numId w:val="6"/>
      </w:numPr>
      <w:contextualSpacing/>
    </w:pPr>
    <w:rPr>
      <w:rFonts w:ascii="Noto Sans CJK SC" w:hAnsi="Noto Sans CJK SC" w:eastAsia="Noto Sans CJK SC" w:cs="Noto Sans CJK SC"/>
      <w:sz w:val="20"/>
    </w:rPr>
  </w:style>
  <w:style w:type="paragraph" w:styleId="ListNumber3">
    <w:name w:val="List Number 3"/>
    <w:basedOn w:val="Normal"/>
    <w:uiPriority w:val="99"/>
    <w:unhideWhenUsed/>
    <w:rsid w:val="0029639D"/>
    <w:pPr>
      <w:numPr>
        <w:numId w:val="7"/>
      </w:numPr>
      <w:contextualSpacing/>
    </w:pPr>
    <w:rPr>
      <w:rFonts w:ascii="Noto Sans CJK SC" w:hAnsi="Noto Sans CJK SC" w:eastAsia="Noto Sans CJK SC" w:cs="Noto Sans CJK SC"/>
      <w:sz w:val="20"/>
    </w:rPr>
  </w:style>
  <w:style w:type="paragraph" w:styleId="ListContinue">
    <w:name w:val="List Continue"/>
    <w:basedOn w:val="Normal"/>
    <w:uiPriority w:val="99"/>
    <w:unhideWhenUsed/>
    <w:rsid w:val="0029639D"/>
    <w:pPr>
      <w:spacing w:after="120"/>
      <w:ind w:left="360"/>
      <w:contextualSpacing/>
    </w:pPr>
    <w:rPr>
      <w:rFonts w:ascii="Noto Sans CJK SC" w:hAnsi="Noto Sans CJK SC" w:eastAsia="Noto Sans CJK SC" w:cs="Noto Sans CJK SC"/>
      <w:sz w:val="20"/>
    </w:rPr>
  </w:style>
  <w:style w:type="paragraph" w:styleId="ListContinue2">
    <w:name w:val="List Continue 2"/>
    <w:basedOn w:val="Normal"/>
    <w:uiPriority w:val="99"/>
    <w:unhideWhenUsed/>
    <w:rsid w:val="0029639D"/>
    <w:pPr>
      <w:spacing w:after="120"/>
      <w:ind w:left="720"/>
      <w:contextualSpacing/>
    </w:pPr>
    <w:rPr>
      <w:rFonts w:ascii="Noto Sans CJK SC" w:hAnsi="Noto Sans CJK SC" w:eastAsia="Noto Sans CJK SC" w:cs="Noto Sans CJK SC"/>
      <w:sz w:val="20"/>
    </w:rPr>
  </w:style>
  <w:style w:type="paragraph" w:styleId="ListContinue3">
    <w:name w:val="List Continue 3"/>
    <w:basedOn w:val="Normal"/>
    <w:uiPriority w:val="99"/>
    <w:unhideWhenUsed/>
    <w:rsid w:val="0029639D"/>
    <w:pPr>
      <w:spacing w:after="120"/>
      <w:ind w:left="1080"/>
      <w:contextualSpacing/>
    </w:pPr>
    <w:rPr>
      <w:rFonts w:ascii="Noto Sans CJK SC" w:hAnsi="Noto Sans CJK SC" w:eastAsia="Noto Sans CJK SC" w:cs="Noto Sans CJK SC"/>
      <w:sz w:val="20"/>
    </w:r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Noto Sans CJK SC" w:hAnsi="Noto Sans CJK SC" w:eastAsia="Noto Sans CJK SC" w:cs="Noto Sans CJK SC"/>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rFonts w:ascii="Noto Sans CJK SC" w:hAnsi="Noto Sans CJK SC" w:eastAsia="Noto Sans CJK SC" w:cs="Noto Sans CJK SC"/>
      <w:i/>
      <w:iCs/>
      <w:color w:val="000000" w:themeColor="text1"/>
      <w:sz w:val="2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Noto Sans CJK SC" w:hAnsi="Noto Sans CJK SC" w:eastAsia="Noto Sans CJK SC" w:cs="Noto Sans CJK SC"/>
      <w:b/>
      <w:bCs/>
      <w:color w:val="4F81BD" w:themeColor="accent1"/>
      <w:sz w:val="20"/>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rFonts w:ascii="Noto Sans CJK SC" w:hAnsi="Noto Sans CJK SC" w:eastAsia="Noto Sans CJK SC" w:cs="Noto Sans CJK SC"/>
      <w:b/>
      <w:bCs/>
      <w:i/>
      <w:iCs/>
      <w:color w:val="4F81BD" w:themeColor="accent1"/>
      <w:sz w:val="20"/>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rPr>
      <w:rFonts w:ascii="Noto Sans CJK SC" w:hAnsi="Noto Sans CJK SC" w:eastAsia="Noto Sans CJK SC" w:cs="Noto Sans CJK SC"/>
      <w:sz w:val="20"/>
    </w:r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