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/>
        </w:rPr>
        <w:t>中国保险股低估值陷阱：利率下降50bp，安全边际还剩多少？</w:t>
      </w:r>
    </w:p>
    <w:p>
      <w:r>
        <w:rPr>
          <w:rFonts w:ascii="Arial" w:hAnsi="Arial"/>
        </w:rPr>
        <w:t>ACIS Research｜Investment Intelligence / Insurance Sector  •  研究日期：2026-10-23  •  公开研究版 V2.0</w:t>
      </w:r>
    </w:p>
    <w:p>
      <w:r>
        <w:rPr>
          <w:rFonts w:ascii="Arial" w:hAnsi="Arial"/>
        </w:rPr>
        <w:t>研究状态：PUBLICATION DRAFT｜本文件为公开研究稿，尚未取得网站发布与部署回执。</w:t>
      </w:r>
    </w:p>
    <w:p>
      <w:pPr>
        <w:pStyle w:val="Heading1"/>
      </w:pPr>
      <w:r>
        <w:rPr>
          <w:rFonts w:ascii="Arial" w:hAnsi="Arial"/>
          <w:color w:val="14395B"/>
        </w:rPr>
        <w:t>01｜10秒结论</w:t>
      </w:r>
    </w:p>
    <w:p>
      <w:r>
        <w:rPr>
          <w:rFonts w:ascii="Arial" w:hAnsi="Arial"/>
        </w:rPr>
        <w:t>中国太保（02601.HK）、中国平安（02318.HK）与中国人寿（02628.HK）的低P/EV应结合寿险负债久期、投资回报假设、资本充足率及股息可持续性解读。不同公司披露的压力情景与估值层级不完全一致，不宜仅以单一估值倍数排序。</w:t>
      </w:r>
    </w:p>
    <w:p>
      <w:pPr>
        <w:pStyle w:val="Heading1"/>
      </w:pPr>
      <w:r>
        <w:rPr>
          <w:rFonts w:ascii="Arial" w:hAnsi="Arial"/>
          <w:color w:val="14395B"/>
        </w:rPr>
        <w:t>02｜公司披露的2026年中期压力测试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1666"/>
        <w:gridCol w:w="1666"/>
        <w:gridCol w:w="1666"/>
        <w:gridCol w:w="1666"/>
        <w:gridCol w:w="1666"/>
        <w:gridCol w:w="1666"/>
      </w:tblGrid>
      <w:tr>
        <w:tc>
          <w:tcPr>
            <w:tcW w:type="dxa" w:w="1666"/>
          </w:tcPr>
          <w:p>
            <w:r>
              <w:t>公司</w:t>
            </w:r>
          </w:p>
        </w:tc>
        <w:tc>
          <w:tcPr>
            <w:tcW w:type="dxa" w:w="1666"/>
          </w:tcPr>
          <w:p>
            <w:r>
              <w:t>冲击定义</w:t>
            </w:r>
          </w:p>
        </w:tc>
        <w:tc>
          <w:tcPr>
            <w:tcW w:type="dxa" w:w="1666"/>
          </w:tcPr>
          <w:p>
            <w:r>
              <w:t>受影响指标</w:t>
            </w:r>
          </w:p>
        </w:tc>
        <w:tc>
          <w:tcPr>
            <w:tcW w:type="dxa" w:w="1666"/>
          </w:tcPr>
          <w:p>
            <w:r>
              <w:t>基准</w:t>
            </w:r>
          </w:p>
        </w:tc>
        <w:tc>
          <w:tcPr>
            <w:tcW w:type="dxa" w:w="1666"/>
          </w:tcPr>
          <w:p>
            <w:r>
              <w:t>压力后</w:t>
            </w:r>
          </w:p>
        </w:tc>
        <w:tc>
          <w:tcPr>
            <w:tcW w:type="dxa" w:w="1666"/>
          </w:tcPr>
          <w:p>
            <w:r>
              <w:t>变动</w:t>
            </w:r>
          </w:p>
        </w:tc>
      </w:tr>
      <w:tr>
        <w:tc>
          <w:tcPr>
            <w:tcW w:type="dxa" w:w="1666"/>
          </w:tcPr>
          <w:p>
            <w:r>
              <w:t>中国平安</w:t>
            </w:r>
          </w:p>
        </w:tc>
        <w:tc>
          <w:tcPr>
            <w:tcW w:type="dxa" w:w="1666"/>
          </w:tcPr>
          <w:p>
            <w:r>
              <w:t>长期投资收益率每年 -50bp</w:t>
            </w:r>
          </w:p>
        </w:tc>
        <w:tc>
          <w:tcPr>
            <w:tcW w:type="dxa" w:w="1666"/>
          </w:tcPr>
          <w:p>
            <w:r>
              <w:t>集团EV（亿元）</w:t>
            </w:r>
          </w:p>
        </w:tc>
        <w:tc>
          <w:tcPr>
            <w:tcW w:type="dxa" w:w="1666"/>
          </w:tcPr>
          <w:p>
            <w:r>
              <w:t>15,678.00</w:t>
            </w:r>
          </w:p>
        </w:tc>
        <w:tc>
          <w:tcPr>
            <w:tcW w:type="dxa" w:w="1666"/>
          </w:tcPr>
          <w:p>
            <w:r>
              <w:t>14,170.88</w:t>
            </w:r>
          </w:p>
        </w:tc>
        <w:tc>
          <w:tcPr>
            <w:tcW w:type="dxa" w:w="1666"/>
          </w:tcPr>
          <w:p>
            <w:r>
              <w:t>-9.61%</w:t>
            </w:r>
          </w:p>
        </w:tc>
      </w:tr>
      <w:tr>
        <w:tc>
          <w:tcPr>
            <w:tcW w:type="dxa" w:w="1666"/>
          </w:tcPr>
          <w:p>
            <w:r>
              <w:t>中国平安</w:t>
            </w:r>
          </w:p>
        </w:tc>
        <w:tc>
          <w:tcPr>
            <w:tcW w:type="dxa" w:w="1666"/>
          </w:tcPr>
          <w:p>
            <w:r>
              <w:t>长期投资收益率每年 -50bp</w:t>
            </w:r>
          </w:p>
        </w:tc>
        <w:tc>
          <w:tcPr>
            <w:tcW w:type="dxa" w:w="1666"/>
          </w:tcPr>
          <w:p>
            <w:r>
              <w:t>寿险及健康险EV（亿元）</w:t>
            </w:r>
          </w:p>
        </w:tc>
        <w:tc>
          <w:tcPr>
            <w:tcW w:type="dxa" w:w="1666"/>
          </w:tcPr>
          <w:p>
            <w:r>
              <w:t>9,708.39</w:t>
            </w:r>
          </w:p>
        </w:tc>
        <w:tc>
          <w:tcPr>
            <w:tcW w:type="dxa" w:w="1666"/>
          </w:tcPr>
          <w:p>
            <w:r>
              <w:t>8,201.27</w:t>
            </w:r>
          </w:p>
        </w:tc>
        <w:tc>
          <w:tcPr>
            <w:tcW w:type="dxa" w:w="1666"/>
          </w:tcPr>
          <w:p>
            <w:r>
              <w:t>-15.52%</w:t>
            </w:r>
          </w:p>
        </w:tc>
      </w:tr>
      <w:tr>
        <w:tc>
          <w:tcPr>
            <w:tcW w:type="dxa" w:w="1666"/>
          </w:tcPr>
          <w:p>
            <w:r>
              <w:t>中国平安</w:t>
            </w:r>
          </w:p>
        </w:tc>
        <w:tc>
          <w:tcPr>
            <w:tcW w:type="dxa" w:w="1666"/>
          </w:tcPr>
          <w:p>
            <w:r>
              <w:t>市场利率当期 -50bp</w:t>
            </w:r>
          </w:p>
        </w:tc>
        <w:tc>
          <w:tcPr>
            <w:tcW w:type="dxa" w:w="1666"/>
          </w:tcPr>
          <w:p>
            <w:r>
              <w:t>集团核心偿付能力充足率</w:t>
            </w:r>
          </w:p>
        </w:tc>
        <w:tc>
          <w:tcPr>
            <w:tcW w:type="dxa" w:w="1666"/>
          </w:tcPr>
          <w:p>
            <w:r>
              <w:t>165.6%</w:t>
            </w:r>
          </w:p>
        </w:tc>
        <w:tc>
          <w:tcPr>
            <w:tcW w:type="dxa" w:w="1666"/>
          </w:tcPr>
          <w:p>
            <w:r>
              <w:t>约164.1%</w:t>
            </w:r>
          </w:p>
        </w:tc>
        <w:tc>
          <w:tcPr>
            <w:tcW w:type="dxa" w:w="1666"/>
          </w:tcPr>
          <w:p>
            <w:r>
              <w:t>-1.5百分点</w:t>
            </w:r>
          </w:p>
        </w:tc>
      </w:tr>
      <w:tr>
        <w:tc>
          <w:tcPr>
            <w:tcW w:type="dxa" w:w="1666"/>
          </w:tcPr>
          <w:p>
            <w:r>
              <w:t>中国太保</w:t>
            </w:r>
          </w:p>
        </w:tc>
        <w:tc>
          <w:tcPr>
            <w:tcW w:type="dxa" w:w="1666"/>
          </w:tcPr>
          <w:p>
            <w:r>
              <w:t>长期投资收益率假设 -50bp</w:t>
            </w:r>
          </w:p>
        </w:tc>
        <w:tc>
          <w:tcPr>
            <w:tcW w:type="dxa" w:w="1666"/>
          </w:tcPr>
          <w:p>
            <w:r>
              <w:t>寿险有效业务价值（亿元）</w:t>
            </w:r>
          </w:p>
        </w:tc>
        <w:tc>
          <w:tcPr>
            <w:tcW w:type="dxa" w:w="1666"/>
          </w:tcPr>
          <w:p>
            <w:r>
              <w:t>2,551.22</w:t>
            </w:r>
          </w:p>
        </w:tc>
        <w:tc>
          <w:tcPr>
            <w:tcW w:type="dxa" w:w="1666"/>
          </w:tcPr>
          <w:p>
            <w:r>
              <w:t>1,856.84</w:t>
            </w:r>
          </w:p>
        </w:tc>
        <w:tc>
          <w:tcPr>
            <w:tcW w:type="dxa" w:w="1666"/>
          </w:tcPr>
          <w:p>
            <w:r>
              <w:t>-27.22%</w:t>
            </w:r>
          </w:p>
        </w:tc>
      </w:tr>
      <w:tr>
        <w:tc>
          <w:tcPr>
            <w:tcW w:type="dxa" w:w="1666"/>
          </w:tcPr>
          <w:p>
            <w:r>
              <w:t>中国人寿</w:t>
            </w:r>
          </w:p>
        </w:tc>
        <w:tc>
          <w:tcPr>
            <w:tcW w:type="dxa" w:w="1666"/>
          </w:tcPr>
          <w:p>
            <w:r>
              <w:t>投资回报率假设相对 -10%</w:t>
            </w:r>
          </w:p>
        </w:tc>
        <w:tc>
          <w:tcPr>
            <w:tcW w:type="dxa" w:w="1666"/>
          </w:tcPr>
          <w:p>
            <w:r>
              <w:t>扣资本成本后有效业务价值（亿元）</w:t>
            </w:r>
          </w:p>
        </w:tc>
        <w:tc>
          <w:tcPr>
            <w:tcW w:type="dxa" w:w="1666"/>
          </w:tcPr>
          <w:p>
            <w:r>
              <w:t>5,668.12</w:t>
            </w:r>
          </w:p>
        </w:tc>
        <w:tc>
          <w:tcPr>
            <w:tcW w:type="dxa" w:w="1666"/>
          </w:tcPr>
          <w:p>
            <w:r>
              <w:t>4,259.52</w:t>
            </w:r>
          </w:p>
        </w:tc>
        <w:tc>
          <w:tcPr>
            <w:tcW w:type="dxa" w:w="1666"/>
          </w:tcPr>
          <w:p>
            <w:r>
              <w:t>-24.85%</w:t>
            </w:r>
          </w:p>
        </w:tc>
      </w:tr>
    </w:tbl>
    <w:p>
      <w:r>
        <w:rPr>
          <w:rFonts w:ascii="Arial" w:hAnsi="Arial"/>
        </w:rPr>
        <w:t>警示：三家公司披露的冲击单位、估值层级及分母不同；不得将寿险有效业务价值降幅直接当作集团EV降幅，更不能直接当作股价跌幅。中国人寿“回报率下降10%”是相对变动，并非下降50bp。</w:t>
      </w:r>
    </w:p>
    <w:p>
      <w:pPr>
        <w:pStyle w:val="Heading1"/>
      </w:pPr>
      <w:r>
        <w:rPr>
          <w:rFonts w:ascii="Arial" w:hAnsi="Arial"/>
          <w:color w:val="14395B"/>
        </w:rPr>
        <w:t>03｜进一步可比化：压力测试的正确边界</w:t>
      </w:r>
    </w:p>
    <w:p>
      <w:pPr>
        <w:pStyle w:val="Heading2"/>
      </w:pPr>
      <w:r>
        <w:rPr>
          <w:rFonts w:ascii="Arial" w:hAnsi="Arial"/>
          <w:color w:val="14395B"/>
        </w:rPr>
        <w:t>A. 投资回报假设下修与市场利率下降，必须分开</w:t>
      </w:r>
    </w:p>
    <w:p>
      <w:r>
        <w:rPr>
          <w:rFonts w:ascii="Arial" w:hAnsi="Arial"/>
        </w:rPr>
        <w:t>长期投资回报假设变化影响未来保险合同利润折现；市场利率即期下跌影响债券价格、保险负债估值、资产负债久期缺口及偿付能力。两种情景不能相加为同一损失，也不能假设结果线性。</w:t>
      </w:r>
    </w:p>
    <w:p>
      <w:pPr>
        <w:pStyle w:val="Heading2"/>
      </w:pPr>
      <w:r>
        <w:rPr>
          <w:rFonts w:ascii="Arial" w:hAnsi="Arial"/>
          <w:color w:val="14395B"/>
        </w:rPr>
        <w:t>B. 中国太保：集团EV不能简单套用寿险VIF跌幅</w:t>
      </w:r>
    </w:p>
    <w:p>
      <w:r>
        <w:rPr>
          <w:rFonts w:ascii="Arial" w:hAnsi="Arial"/>
        </w:rPr>
        <w:t>2026-06-30太保集团EV 6,369.38亿元；寿险扣资本成本后的有效业务价值2,551.22亿元。若仅作为机械示意，将寿险有效业务价值减少694.38亿元，集团权益占比98.29%，则集团EV的静态影响约682.5亿元（约-10.7%）。这是“仅此项目变化”的示意计算，未考虑其他资产、资本、税、模型联动和分散效应，不是公司官方集团压力测试结果，不得作为正式压力EV。</w:t>
      </w:r>
    </w:p>
    <w:p>
      <w:pPr>
        <w:pStyle w:val="Heading2"/>
      </w:pPr>
      <w:r>
        <w:rPr>
          <w:rFonts w:ascii="Arial" w:hAnsi="Arial"/>
          <w:color w:val="14395B"/>
        </w:rPr>
        <w:t>C. 中国人寿：披露情景不可伪装成-50bp</w:t>
      </w:r>
    </w:p>
    <w:p>
      <w:r>
        <w:rPr>
          <w:rFonts w:ascii="Arial" w:hAnsi="Arial"/>
        </w:rPr>
        <w:t>2026-06-30集团EV 16,142.07亿元；扣资本成本后的有效业务价值5,668.12亿元。公司披露投资回报率假设相对下降10%时，该业务价值降至4,259.52亿元。因缺少对应基准回报率和完整模型，不进行“相对10%→绝对50bp”的线性换算。</w:t>
      </w:r>
    </w:p>
    <w:p>
      <w:pPr>
        <w:pStyle w:val="Heading1"/>
      </w:pPr>
      <w:r>
        <w:rPr>
          <w:rFonts w:ascii="Arial" w:hAnsi="Arial"/>
          <w:color w:val="14395B"/>
        </w:rPr>
        <w:t>04｜股息税务与现金回报：投资渠道与税务身份差异</w:t>
      </w:r>
    </w:p>
    <w:p>
      <w:r>
        <w:rPr>
          <w:rFonts w:ascii="Arial" w:hAnsi="Arial"/>
        </w:rPr>
        <w:t>经香港券商直接持有H股，与经内地港股通持有H股，可能适用不同的股息扣缴路径。实际税负取决于发行人扣缴规则、持有人税务居民身份、登记安排及适用税收协定。香港券商账户并不自动意味着股息零税。以下仅列示一般情景，不构成个别税务建议。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c>
          <w:tcPr>
            <w:tcW w:type="dxa" w:w="3331"/>
          </w:tcPr>
          <w:p>
            <w:r>
              <w:t>持有路径</w:t>
            </w:r>
          </w:p>
        </w:tc>
        <w:tc>
          <w:tcPr>
            <w:tcW w:type="dxa" w:w="3331"/>
          </w:tcPr>
          <w:p>
            <w:r>
              <w:t>税务情景</w:t>
            </w:r>
          </w:p>
        </w:tc>
        <w:tc>
          <w:tcPr>
            <w:tcW w:type="dxa" w:w="3331"/>
          </w:tcPr>
          <w:p>
            <w:r>
              <w:t>若毛股息率为5%，示例净率</w:t>
            </w:r>
          </w:p>
        </w:tc>
      </w:tr>
      <w:tr>
        <w:tc>
          <w:tcPr>
            <w:tcW w:type="dxa" w:w="3331"/>
          </w:tcPr>
          <w:p>
            <w:r>
              <w:t>内地个人港股通持有H股</w:t>
            </w:r>
          </w:p>
        </w:tc>
        <w:tc>
          <w:tcPr>
            <w:tcW w:type="dxa" w:w="3331"/>
          </w:tcPr>
          <w:p>
            <w:r>
              <w:t>20%代扣</w:t>
            </w:r>
          </w:p>
        </w:tc>
        <w:tc>
          <w:tcPr>
            <w:tcW w:type="dxa" w:w="3331"/>
          </w:tcPr>
          <w:p>
            <w:r>
              <w:t>4.0%</w:t>
            </w:r>
          </w:p>
        </w:tc>
      </w:tr>
      <w:tr>
        <w:tc>
          <w:tcPr>
            <w:tcW w:type="dxa" w:w="3331"/>
          </w:tcPr>
          <w:p>
            <w:r>
              <w:t>经香港券商直接持有H股（示意）</w:t>
            </w:r>
          </w:p>
        </w:tc>
        <w:tc>
          <w:tcPr>
            <w:tcW w:type="dxa" w:w="3331"/>
          </w:tcPr>
          <w:p>
            <w:r>
              <w:t>假设股息代扣10%（非通用税率）</w:t>
            </w:r>
          </w:p>
        </w:tc>
        <w:tc>
          <w:tcPr>
            <w:tcW w:type="dxa" w:w="3331"/>
          </w:tcPr>
          <w:p>
            <w:r>
              <w:t>4.5%</w:t>
            </w:r>
          </w:p>
        </w:tc>
      </w:tr>
      <w:tr>
        <w:tc>
          <w:tcPr>
            <w:tcW w:type="dxa" w:w="3331"/>
          </w:tcPr>
          <w:p>
            <w:r>
              <w:t>经香港券商直接持有H股（示意）</w:t>
            </w:r>
          </w:p>
        </w:tc>
        <w:tc>
          <w:tcPr>
            <w:tcW w:type="dxa" w:w="3331"/>
          </w:tcPr>
          <w:p>
            <w:r>
              <w:t>假设股息代扣20%（非通用税率）</w:t>
            </w:r>
          </w:p>
        </w:tc>
        <w:tc>
          <w:tcPr>
            <w:tcW w:type="dxa" w:w="3331"/>
          </w:tcPr>
          <w:p>
            <w:r>
              <w:t>4.0%</w:t>
            </w:r>
          </w:p>
        </w:tc>
      </w:tr>
      <w:tr>
        <w:tc>
          <w:tcPr>
            <w:tcW w:type="dxa" w:w="3331"/>
          </w:tcPr>
          <w:p>
            <w:r>
              <w:t>其他合规路径</w:t>
            </w:r>
          </w:p>
        </w:tc>
        <w:tc>
          <w:tcPr>
            <w:tcW w:type="dxa" w:w="3331"/>
          </w:tcPr>
          <w:p>
            <w:r>
              <w:t>依实际扣缴凭证</w:t>
            </w:r>
          </w:p>
        </w:tc>
        <w:tc>
          <w:tcPr>
            <w:tcW w:type="dxa" w:w="3331"/>
          </w:tcPr>
          <w:p>
            <w:r>
              <w:t>暂不填</w:t>
            </w:r>
          </w:p>
        </w:tc>
      </w:tr>
    </w:tbl>
    <w:p>
      <w:r>
        <w:rPr>
          <w:rFonts w:ascii="Arial" w:hAnsi="Arial"/>
        </w:rPr>
        <w:t>税后股息率应按“实际年度现金股息÷同期买入价格×（1－适用股息扣缴税率）”计算。若税务身份及实际扣缴凭证未核实，须同时披露税前收益率与情景税后收益率。</w:t>
      </w:r>
    </w:p>
    <w:p>
      <w:pPr>
        <w:pStyle w:val="Heading1"/>
      </w:pPr>
      <w:r>
        <w:rPr>
          <w:rFonts w:ascii="Arial" w:hAnsi="Arial"/>
          <w:color w:val="14395B"/>
        </w:rPr>
        <w:t>05｜Great Price：估值观察区与风险条件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c>
          <w:tcPr>
            <w:tcW w:type="dxa" w:w="3331"/>
          </w:tcPr>
          <w:p>
            <w:r>
              <w:t>标的</w:t>
            </w:r>
          </w:p>
        </w:tc>
        <w:tc>
          <w:tcPr>
            <w:tcW w:type="dxa" w:w="3331"/>
          </w:tcPr>
          <w:p>
            <w:r>
              <w:t>历史研究观察区（港币）</w:t>
            </w:r>
          </w:p>
        </w:tc>
        <w:tc>
          <w:tcPr>
            <w:tcW w:type="dxa" w:w="3331"/>
          </w:tcPr>
          <w:p>
            <w:r>
              <w:t>价格区间有效性限制</w:t>
            </w:r>
          </w:p>
        </w:tc>
      </w:tr>
      <w:tr>
        <w:tc>
          <w:tcPr>
            <w:tcW w:type="dxa" w:w="3331"/>
          </w:tcPr>
          <w:p>
            <w:r>
              <w:t>中国太保H 02601</w:t>
            </w:r>
          </w:p>
        </w:tc>
        <w:tc>
          <w:tcPr>
            <w:tcW w:type="dxa" w:w="3331"/>
          </w:tcPr>
          <w:p>
            <w:r>
              <w:t>21.0–23.3</w:t>
            </w:r>
          </w:p>
        </w:tc>
        <w:tc>
          <w:tcPr>
            <w:tcW w:type="dxa" w:w="3331"/>
          </w:tcPr>
          <w:p>
            <w:r>
              <w:t>仅供估值观察；须同步核对EV压力、资本充足率、股息及业务趋势</w:t>
            </w:r>
          </w:p>
        </w:tc>
      </w:tr>
      <w:tr>
        <w:tc>
          <w:tcPr>
            <w:tcW w:type="dxa" w:w="3331"/>
          </w:tcPr>
          <w:p>
            <w:r>
              <w:t>中国平安H 02318</w:t>
            </w:r>
          </w:p>
        </w:tc>
        <w:tc>
          <w:tcPr>
            <w:tcW w:type="dxa" w:w="3331"/>
          </w:tcPr>
          <w:p>
            <w:r>
              <w:t>38.6–43.7</w:t>
            </w:r>
          </w:p>
        </w:tc>
        <w:tc>
          <w:tcPr>
            <w:tcW w:type="dxa" w:w="3331"/>
          </w:tcPr>
          <w:p>
            <w:r>
              <w:t>仅供估值观察；须同步核对集团EV、营运利润、银行信用风险及分红覆盖</w:t>
            </w:r>
          </w:p>
        </w:tc>
      </w:tr>
      <w:tr>
        <w:tc>
          <w:tcPr>
            <w:tcW w:type="dxa" w:w="3331"/>
          </w:tcPr>
          <w:p>
            <w:r>
              <w:t>中国人寿H 02628</w:t>
            </w:r>
          </w:p>
        </w:tc>
        <w:tc>
          <w:tcPr>
            <w:tcW w:type="dxa" w:w="3331"/>
          </w:tcPr>
          <w:p>
            <w:r>
              <w:t>不设主动建仓价</w:t>
            </w:r>
          </w:p>
        </w:tc>
        <w:tc>
          <w:tcPr>
            <w:tcW w:type="dxa" w:w="3331"/>
          </w:tcPr>
          <w:p>
            <w:r>
              <w:t>行业对照；本研究不提供价格触发结论</w:t>
            </w:r>
          </w:p>
        </w:tc>
      </w:tr>
    </w:tbl>
    <w:p>
      <w:r>
        <w:rPr>
          <w:rFonts w:ascii="Arial" w:hAnsi="Arial"/>
        </w:rPr>
        <w:t>以下价格为历史估值研究观察区，尚未根据最新价格、汇率及精算假设更新。触及区间并不必然意味着具备投资价值；须同步核验EV压力、资本充足率、经营趋势和分红覆盖。研究区间不是交易指令或保证回报。</w:t>
      </w:r>
    </w:p>
    <w:p>
      <w:pPr>
        <w:pStyle w:val="Heading1"/>
      </w:pPr>
      <w:r>
        <w:rPr>
          <w:rFonts w:ascii="Arial" w:hAnsi="Arial"/>
          <w:color w:val="14395B"/>
        </w:rPr>
        <w:t>06｜行业集中度与可比性限制</w:t>
      </w:r>
    </w:p>
    <w:p>
      <w:r>
        <w:rPr>
          <w:rFonts w:ascii="Arial" w:hAnsi="Arial"/>
        </w:rPr>
        <w:t>保险板块股票共同暴露于长期利率、权益市场波动、信用利差、寿险负债成本及监管资本规则等因素。多只保险股的持有并不自动带来充分分散。中国太保与中国平安在寿险、财险及综合金融业务构成上存在差异，需按业务分部和资本来源进行对照。</w:t>
      </w:r>
    </w:p>
    <w:p>
      <w:pPr>
        <w:pStyle w:val="Heading1"/>
      </w:pPr>
      <w:r>
        <w:rPr>
          <w:rFonts w:ascii="Arial" w:hAnsi="Arial"/>
          <w:color w:val="14395B"/>
        </w:rPr>
        <w:t>07｜研究限制与发布质量控制</w:t>
      </w:r>
    </w:p>
    <w:p>
      <w:r>
        <w:rPr>
          <w:rFonts w:ascii="Arial" w:hAnsi="Arial"/>
        </w:rPr>
        <w:t>本研究仅使用已披露资料与明确标注的示意计算。正式发表时应逐项核对原始精算敏感性表、最新A/H价格与汇率、股息及税务规则、估值分母和比较期间。新增证据应形成独立研究记录；历史研究结论保留原有日期。公开页面须完成中英文一致性、来源链接、相关研究导航和移动端显示检查。</w:t>
      </w:r>
    </w:p>
    <w:p>
      <w:pPr>
        <w:pStyle w:val="Heading1"/>
      </w:pPr>
      <w:r>
        <w:rPr>
          <w:rFonts w:ascii="Arial" w:hAnsi="Arial"/>
          <w:color w:val="14395B"/>
        </w:rPr>
        <w:t>08｜核心资料与可追溯来源</w:t>
      </w:r>
    </w:p>
    <w:p>
      <w:r>
        <w:rPr>
          <w:rFonts w:ascii="Arial" w:hAnsi="Arial"/>
        </w:rPr>
        <w:t>平安2026中期业绩报告（公司披露）：https://static.cninfo.com.cn/finalpage/2026-08-21/1225487472.PDF</w:t>
      </w:r>
    </w:p>
    <w:p>
      <w:r>
        <w:rPr>
          <w:rFonts w:ascii="Arial" w:hAnsi="Arial"/>
        </w:rPr>
        <w:t>太保2026半年度内含价值报告（公司披露）：https://static.cninfo.com.cn/finalpage/2026-08-28/1225518250.PDF</w:t>
      </w:r>
    </w:p>
    <w:p>
      <w:r>
        <w:rPr>
          <w:rFonts w:ascii="Arial" w:hAnsi="Arial"/>
        </w:rPr>
        <w:t>人寿2026半年度报告（公告转录）：https://vip.stock.finance.sina.com.cn/corp/view/vCB_AllBulletinDetail.php?id=12556641&amp;stockid=601628</w:t>
      </w:r>
    </w:p>
    <w:p>
      <w:r>
        <w:rPr>
          <w:rFonts w:ascii="Arial" w:hAnsi="Arial"/>
        </w:rPr>
        <w:t>人寿2026年中期精算敏感性表（财报转录）：https://financialfilings.com/filings/china-life-insurance-company-limited-1/interim-quarterly-report/2026/57789122/</w:t>
      </w:r>
    </w:p>
    <w:p>
      <w:r>
        <w:rPr>
          <w:rFonts w:ascii="Arial" w:hAnsi="Arial"/>
        </w:rPr>
        <w:t>证监会：沪港通税收政策通知：https://www.csrc.gov.cn/csrc/c100028/c1002047/content.shtml</w:t>
      </w:r>
    </w:p>
    <w:sectPr w:rsidR="00FC693F" w:rsidRPr="0006063C" w:rsidSect="00034616">
      <w:footerReference w:type="default" r:id="rId9"/>
      <w:pgSz w:w="12240" w:h="15840"/>
      <w:pgMar w:top="893" w:right="1123" w:bottom="835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ACIS Research  |  Public Research Draft  |  2026-10-23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Noto Sans CJK SC" w:hAnsi="Noto Sans CJK SC" w:eastAsia="Noto Sans CJK SC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15314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15314E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SC" w:hAnsi="Noto Sans CJK SC" w:eastAsia="Noto Sans CJK SC"/>
      <w:b/>
      <w:color w:val="15314E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中国保险股低估值陷阱：利率下降50bp，安全边际还剩多少？</dc:title>
  <dc:subject>ACIS公开研究：三家中国保险公司压力测试与估值边界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