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Meta 2026年第三季度财报深度研究</w:t>
      </w:r>
    </w:p>
    <w:p>
      <w:r>
        <w:t>ACIS Research | Investment Intelligence / AI Infrastructure | 2026-10-23</w:t>
      </w:r>
    </w:p>
    <w:p>
      <w:r>
        <w:t>META财报：广告业务增长26%，AI资本开支正在吞噬现金流？</w:t>
      </w:r>
    </w:p>
    <w:p>
      <w:pPr>
        <w:pStyle w:val="Heading1"/>
      </w:pPr>
      <w:r>
        <w:t>10秒结论</w:t>
      </w:r>
    </w:p>
    <w:p>
      <w:r>
        <w:t>是，资本投入已超过本季经营现金流；但这是合并口径，不能全部归因于AI。广告增长强劲，盈利质量与资本回报仍需分开验证。</w:t>
      </w:r>
    </w:p>
    <w:p>
      <w:pPr>
        <w:pStyle w:val="Heading1"/>
      </w:pPr>
      <w:r>
        <w:t>一分钟摘要</w:t>
      </w:r>
    </w:p>
    <w:p>
      <w:r>
        <w:t>Meta Platforms（META）是以广告为核心、向AI平台扩张的互联网公司。2026年第三季度广告收入630.61亿美元，同比增长约26%；经营现金流327.86亿美元，而含融资租赁本金的资本开支349.06亿美元，自由现金流为负21.20亿美元。[1–2] 这证明现金吸收已经发生，不等于广告业务失效。本季诉讼费用与去年税项扭曲了EPS同比；剔除各自项目后的每股收益仅由7.25美元升至7.40美元。[1,5] ACIS判断：广告竞争力证据增强，股东现金回报的能见度减弱。下一次财报最重要的是2027年预算、折旧与新增AI收入的同口径验证，而非把资本开支自动转换为供应商盈利。</w:t>
      </w:r>
    </w:p>
    <w:p>
      <w:r>
        <w:t>范围：Meta Platforms（META）、Arista Networks（ANET）及AI产业链。所有金额以美元计。研究信息截至2026年10月23日；不是个性化投资建议。 稀释每股收益简称EPS；美国通用会计准则简称GAAP。</w:t>
      </w:r>
    </w:p>
    <w:p>
      <w:pPr>
        <w:pStyle w:val="Heading1"/>
      </w:pPr>
      <w:r>
        <w:t>证据层级</w:t>
      </w:r>
    </w:p>
    <w:p>
      <w:r>
        <w:t>已披露事实  收入、现金流、资本开支及分部结果来自业绩表与SEC附件；金额均标明期间。[1–2]</w:t>
      </w:r>
    </w:p>
    <w:p>
      <w:r>
        <w:t>管理层指引  2026年资本开支1350亿至1450亿美元；2027年继续积极投入，但没有正式数值区间。[1,3]</w:t>
      </w:r>
    </w:p>
    <w:p>
      <w:r>
        <w:t>分析推断  资本投入超过经营现金流、调整后利润率下降及供应链传导为ACIS计算与判断。</w:t>
      </w:r>
    </w:p>
    <w:p>
      <w:r>
        <w:t>情景假设  估值及现金流压力测试不是管理层指引、市场共识或目标价。</w:t>
      </w:r>
    </w:p>
    <w:p>
      <w:r>
        <w:t>证据限制  已核验SEC业绩附件与8-K，未完成Q3 10-Q核验；资产寿命、承诺付款期及AI增量资本回报不能据此补齐。共识采用媒体转述，原始截点未提供。</w:t>
      </w:r>
    </w:p>
    <w:p>
      <w:pPr>
        <w:pStyle w:val="Heading1"/>
      </w:pPr>
      <w:r>
        <w:t>现金流桥 广告变现能否覆盖基础设施投入</w:t>
      </w:r>
    </w:p>
    <w:p>
      <w:r>
        <w:t>经营造血  经营现金流327.86亿美元，同比增长9.3%。[1–2；计算]</w:t>
      </w:r>
    </w:p>
    <w:p>
      <w:r>
        <w:t>现金设备采购  339.42亿美元，比去年同期188.29亿美元明显增加。[1–2]</w:t>
      </w:r>
    </w:p>
    <w:p>
      <w:r>
        <w:t>融资租赁本金  另扣9.64亿美元；不能遗漏或当成经营费用重复扣减。[1–2]</w:t>
      </w:r>
    </w:p>
    <w:p>
      <w:r>
        <w:t>剩余现金  自由现金流−21.20亿美元；尚未扣除本季13.61亿美元股息。[1–2]</w:t>
      </w:r>
    </w:p>
    <w:p>
      <w:r>
        <w:t>2026年第三季度；经营现金流减设备现金采购及融资租赁本金即公司定义的非GAAP自由现金流。框架不是AI专属现金流，也不是供应商收入预测。</w:t>
      </w:r>
    </w:p>
    <w:p>
      <w:pPr>
        <w:pStyle w:val="Heading1"/>
      </w:pPr>
      <w:r>
        <w:t>广告增长来自哪里，AI贡献能否量化</w:t>
      </w:r>
    </w:p>
    <w:p>
      <w:r>
        <w:t>广告收入由500.82亿升至630.61亿美元，占总收入97.6%。广告展示量增长10%，单价增长14%；两者乘积约增加25.4%，与实际增幅的差异包含四舍五入及组合效应，不能简单相加。[1–2；计算] 管理层称AI提升推荐、参与度与变现；主电话会披露生成式检索带来近2%的定向转化提升，GEM广告排序模型在相关活动中带来1.7%的站外转化与9.6%的应用广告转化提升。[3，第6页] 这些是特定产品或实验指标，不能累加为公司收入增长，也没有独立披露“AI收入贡献多少亿美元”。</w:t>
      </w:r>
    </w:p>
    <w:p>
      <w:r>
        <w:t>对核心广告业务，AI已有改善效率的经营证据；对Muse、模型服务和企业代理，新收入规模与利润率仍早期。后续电话会明确Muse目前通过订阅变现，交易变现还需要用户与合作伙伴规模。[4，第2及5页] 广告优化收益与新AI业务收益应分别建模，避免把同一收益计算两次。 管理层提出未来一年算力成本效率提高逾十倍的目标，但后续电话会强调仍需技术进步；该目标不是已实现节省，单位成本下降也不保证总支出下降。[3，第8页；4，第6页]</w:t>
      </w:r>
    </w:p>
    <w:p>
      <w:pPr>
        <w:pStyle w:val="Heading1"/>
      </w:pPr>
      <w:r>
        <w:t>现金流、折旧与资本回报的三道门</w:t>
      </w:r>
    </w:p>
    <w:p>
      <w:r>
        <w:t>本季自由现金流为负，但前三季度仍为正110.49亿美元；不能把单季缺口直接宣布为全年负现金流。[1–2] 资本开支先影响现金，资产投用后折旧逐步影响利润；净固定资产从2025年末1764亿美元升至2532亿美元，未来成本负担需要持续核验。[1–2] 采购、在建、投用和利用率不在同一时点。合并折旧及摊销71.54亿美元不是AI专属折旧，不能用它反推服务器寿命。</w:t>
      </w:r>
    </w:p>
    <w:p>
      <w:r>
        <w:t>投入资本回报率（ROIC）衡量税后经营利润相对投入资本的回报。AI项目的税后利润、专属资本与利用率未完整披露，因此本报告不编造AI ROIC。应先检验新增广告利润、代理收入与单位服务成本，再对照累计投入和资本成本。诉讼费用虽单列分析，最高185.9亿美元协议付款仍具有经济后果；不能在现金流预测中永远忽略。[1] 经营现金流还受营运资本和非现金加回影响，不能视为可随意分配给股东的余额。</w:t>
      </w:r>
    </w:p>
    <w:p>
      <w:pPr>
        <w:pStyle w:val="Heading1"/>
      </w:pPr>
      <w:r>
        <w:t>Reality Labs与2027年融资结构</w:t>
      </w:r>
    </w:p>
    <w:p>
      <w:r>
        <w:t>Reality Labs本季收入4.43亿美元，营业亏损41.29亿美元，去年分别4.70亿和44.32亿美元。亏损收窄不是盈利转正。[1–2] 管理层预计2026年亏损180亿至190亿美元、2027年约150亿美元，并将资源转向AI；这是指引而非已实现节省。[1,3] 利润表亏损下降也不与可投入AI的现金一比一对应。</w:t>
      </w:r>
    </w:p>
    <w:p>
      <w:r>
        <w:t>截至9月底现金及有价证券824.49亿美元，长期债务809.22亿美元，另有经营租赁负债311.73亿美元。前三季度净债务融资249.10亿美元，本季未新增债务融资；Q3及年内回购均为零。[1–2] 这些说明资本来源已经多元化，不能仅引用现金总额证明资金无约束。后续电话会表示第三方云补充自建设施，但未给出自建与租用比例。[4，第3页] 2027年数值预算仍待Q4电话会；本报告不把积极投入的表态换成确定资本开支金额。[3，第15页]</w:t>
      </w:r>
    </w:p>
    <w:p>
      <w:pPr>
        <w:pStyle w:val="Heading1"/>
      </w:pPr>
      <w:r>
        <w:t>Class C 融资工具不是已到账资金</w:t>
      </w:r>
    </w:p>
    <w:p>
      <w:r>
        <w:t>SEC 8-K确认设立无投票权Class C，章程预计2027年1月19日生效；计划每股A/B获配一股C，记录及支付日待董事会确定。[6] 按比例派发本身不让股东财富翻倍，也不是即时融资或经济权益稀释；以后对外发行才可能稀释持股比例，同时维持创始人控制。估值必须在股息生效后调整每股分母，并同时考虑A/C价格及权利差异。</w:t>
      </w:r>
    </w:p>
    <w:p>
      <w:r>
        <w:t>管理层在主电话会称没有具体融资计划可宣布；后续电话会将文件中数千亿美元相关表述解释为创始人控制权计算中的理论融资上限，不能当作当前股权融资需求或已完成交易。[3，第14页；4，第2至3页] 长期规划、理论容量、董事会授权及实际交割是四种证据。本报告不替代既有Class C专项研究；后续应把信息说明书原表、未来承诺付款期和正式发行文件逐项对齐，而不是把未来租赁承诺等同于当前债务。</w:t>
      </w:r>
    </w:p>
    <w:p>
      <w:pPr>
        <w:pStyle w:val="Heading1"/>
      </w:pPr>
      <w:r>
        <w:t>电话会争议与四种情景</w:t>
      </w:r>
    </w:p>
    <w:p>
      <w:r>
        <w:t>主电话会中，Goldman Sachs的Eric Sheridan向Susan Li追问资本结构；JPMorgan的Doug Anmuth追问2027年费用及资本开支；BofA的Justin Post追问广告增长跑道；Barclays的Ross Sandler追问算力成本。管理层给出融资弹性、广告改善和效率路线，但未提供2027年数值预算。[3，第12至19页] 后续Citi的Ron Josey向Susan Li追问融资与交易变现，Wells Fargo的Ken Gawrelski追问自建与租赁；回答进一步限制了“融资已确定”和“新AI收入已规模化”的推断。[4，第2至3页]</w:t>
      </w:r>
    </w:p>
    <w:p>
      <w:r>
        <w:t>乐观情景：广告改善延续，代理收入形成规模，单位服务成本下降快于用量增长，资本开支增速趋缓；下一财报需看到经营现金流对资本投入的覆盖改善。基准情景：广告保持强劲，新AI收入仍小，折旧和投入吸收大部分增量现金；应采用较高资本强度而非历史轻资产估值。悲观情景：广告降速、折旧上升，AI变现推迟，融资与稀释成为主要变量；若增长与现金转换同时恶化则削弱业务判断。尾部情景：重大监管或诉讼、建设及供电延误、技术快速淘汰叠加融资收紧；同时冲击资产利用率、现金流与估值。四情景不设伪精确概率，也不冒充管理层预测。</w:t>
      </w:r>
    </w:p>
    <w:p>
      <w:pPr>
        <w:pStyle w:val="Heading1"/>
      </w:pPr>
      <w:r>
        <w:t>估值含义与下一次财报的验证顺序</w:t>
      </w:r>
    </w:p>
    <w:p>
      <w:r>
        <w:t>敏感性表显示，EPS与倍数可以同时变化；即使盈利增长，资本强度、治理或融资风险也可能压低倍数。分析纪律是等待同口径盈利和现金流验证，不以26%的广告增速直接推出买入或加仓。当前未核验同源现价及远期共识序列，因此不给精确回报率、目标价或历史价格图。</w:t>
      </w:r>
    </w:p>
    <w:p>
      <w:r>
        <w:t>下一次Q4业绩是管理层明确指向的2027预算窗口，正式发布日期本次未核验。[3，第15页] 依次核对广告量价与转化、2027资本开支及租赁定义、经营现金流覆盖、折旧及资产寿命、Reality Labs减亏、Muse付费留存及单位成本、Class C发行和新增承诺。若广告效率改善不能抵消单位服务成本与折旧，则估值支持弱化；若新增AI毛利和现金回收可持续超过新增投入，则资本回报判断可以改善。</w:t>
      </w:r>
    </w:p>
    <w:p>
      <w:pPr>
        <w:pStyle w:val="Heading1"/>
      </w:pPr>
      <w:r>
        <w:t>财务与估值附表</w:t>
      </w:r>
    </w:p>
    <w:p>
      <w:pPr>
        <w:pStyle w:val="Heading2"/>
      </w:pPr>
      <w:r>
        <w:t>财务与市场预期对照</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56"/>
        <w:gridCol w:w="1800"/>
        <w:gridCol w:w="1944"/>
        <w:gridCol w:w="4680"/>
      </w:tblGrid>
      <w:tr>
        <w:trPr>
          <w:tblHeader/>
          <w:cantSplit/>
        </w:trPr>
        <w:tc>
          <w:tcPr>
            <w:tcW w:type="dxa" w:w="1656"/>
            <w:vAlign w:val="center"/>
            <w:shd w:fill="17324D"/>
            <w:tcMar>
              <w:top w:w="85" w:type="dxa"/>
              <w:left w:w="85" w:type="dxa"/>
              <w:bottom w:w="85" w:type="dxa"/>
              <w:right w:w="85" w:type="dxa"/>
            </w:tcMar>
          </w:tcPr>
          <w:p>
            <w:pPr>
              <w:spacing w:after="60" w:line="252" w:lineRule="auto"/>
            </w:pPr>
            <w:r>
              <w:rPr>
                <w:b/>
                <w:color w:val="FFFFFF"/>
                <w:sz w:val="18"/>
              </w:rPr>
              <w:t>指标与口径</w:t>
            </w:r>
          </w:p>
        </w:tc>
        <w:tc>
          <w:tcPr>
            <w:tcW w:type="dxa" w:w="1800"/>
            <w:vAlign w:val="center"/>
            <w:shd w:fill="17324D"/>
            <w:tcMar>
              <w:top w:w="85" w:type="dxa"/>
              <w:left w:w="85" w:type="dxa"/>
              <w:bottom w:w="85" w:type="dxa"/>
              <w:right w:w="85" w:type="dxa"/>
            </w:tcMar>
          </w:tcPr>
          <w:p>
            <w:pPr>
              <w:spacing w:after="60" w:line="252" w:lineRule="auto"/>
            </w:pPr>
            <w:r>
              <w:rPr>
                <w:b/>
                <w:color w:val="FFFFFF"/>
                <w:sz w:val="18"/>
              </w:rPr>
              <w:t>2026年Q3</w:t>
            </w:r>
          </w:p>
        </w:tc>
        <w:tc>
          <w:tcPr>
            <w:tcW w:type="dxa" w:w="1944"/>
            <w:vAlign w:val="center"/>
            <w:shd w:fill="17324D"/>
            <w:tcMar>
              <w:top w:w="85" w:type="dxa"/>
              <w:left w:w="85" w:type="dxa"/>
              <w:bottom w:w="85" w:type="dxa"/>
              <w:right w:w="85" w:type="dxa"/>
            </w:tcMar>
          </w:tcPr>
          <w:p>
            <w:pPr>
              <w:spacing w:after="60" w:line="252" w:lineRule="auto"/>
            </w:pPr>
            <w:r>
              <w:rPr>
                <w:b/>
                <w:color w:val="FFFFFF"/>
                <w:sz w:val="18"/>
              </w:rPr>
              <w:t>2025年Q3或预期</w:t>
            </w:r>
          </w:p>
        </w:tc>
        <w:tc>
          <w:tcPr>
            <w:tcW w:type="dxa" w:w="4680"/>
            <w:vAlign w:val="center"/>
            <w:shd w:fill="17324D"/>
            <w:tcMar>
              <w:top w:w="85" w:type="dxa"/>
              <w:left w:w="85" w:type="dxa"/>
              <w:bottom w:w="85" w:type="dxa"/>
              <w:right w:w="85" w:type="dxa"/>
            </w:tcMar>
          </w:tcPr>
          <w:p>
            <w:pPr>
              <w:spacing w:after="60" w:line="252" w:lineRule="auto"/>
            </w:pPr>
            <w:r>
              <w:rPr>
                <w:b/>
                <w:color w:val="FFFFFF"/>
                <w:sz w:val="18"/>
              </w:rPr>
              <w:t>含义</w:t>
            </w:r>
          </w:p>
        </w:tc>
      </w:tr>
      <w:tr>
        <w:trPr>
          <w:cantSplit/>
        </w:trPr>
        <w:tc>
          <w:tcPr>
            <w:tcW w:type="dxa" w:w="1656"/>
            <w:vAlign w:val="center"/>
            <w:shd w:fill="FFFFFF"/>
            <w:tcMar>
              <w:top w:w="85" w:type="dxa"/>
              <w:left w:w="85" w:type="dxa"/>
              <w:bottom w:w="85" w:type="dxa"/>
              <w:right w:w="85" w:type="dxa"/>
            </w:tcMar>
          </w:tcPr>
          <w:p>
            <w:pPr>
              <w:spacing w:after="60" w:line="252" w:lineRule="auto"/>
            </w:pPr>
            <w:r>
              <w:rPr>
                <w:b w:val="0"/>
                <w:color w:val="000000"/>
                <w:sz w:val="18"/>
              </w:rPr>
              <w:t>总收入</w:t>
            </w:r>
          </w:p>
        </w:tc>
        <w:tc>
          <w:tcPr>
            <w:tcW w:type="dxa" w:w="1800"/>
            <w:vAlign w:val="center"/>
            <w:shd w:fill="FFFFFF"/>
            <w:tcMar>
              <w:top w:w="85" w:type="dxa"/>
              <w:left w:w="85" w:type="dxa"/>
              <w:bottom w:w="85" w:type="dxa"/>
              <w:right w:w="85" w:type="dxa"/>
            </w:tcMar>
          </w:tcPr>
          <w:p>
            <w:pPr>
              <w:spacing w:after="60" w:line="252" w:lineRule="auto"/>
            </w:pPr>
            <w:r>
              <w:rPr>
                <w:b w:val="0"/>
                <w:color w:val="000000"/>
                <w:sz w:val="18"/>
              </w:rPr>
              <w:t>646.01亿美元</w:t>
            </w:r>
          </w:p>
        </w:tc>
        <w:tc>
          <w:tcPr>
            <w:tcW w:type="dxa" w:w="1944"/>
            <w:vAlign w:val="center"/>
            <w:shd w:fill="FFFFFF"/>
            <w:tcMar>
              <w:top w:w="85" w:type="dxa"/>
              <w:left w:w="85" w:type="dxa"/>
              <w:bottom w:w="85" w:type="dxa"/>
              <w:right w:w="85" w:type="dxa"/>
            </w:tcMar>
          </w:tcPr>
          <w:p>
            <w:pPr>
              <w:spacing w:after="60" w:line="252" w:lineRule="auto"/>
            </w:pPr>
            <w:r>
              <w:rPr>
                <w:b w:val="0"/>
                <w:color w:val="000000"/>
                <w:sz w:val="18"/>
              </w:rPr>
              <w:t>512.42亿美元；+26%</w:t>
            </w:r>
          </w:p>
        </w:tc>
        <w:tc>
          <w:tcPr>
            <w:tcW w:type="dxa" w:w="4680"/>
            <w:vAlign w:val="center"/>
            <w:shd w:fill="FFFFFF"/>
            <w:tcMar>
              <w:top w:w="85" w:type="dxa"/>
              <w:left w:w="85" w:type="dxa"/>
              <w:bottom w:w="85" w:type="dxa"/>
              <w:right w:w="85" w:type="dxa"/>
            </w:tcMar>
          </w:tcPr>
          <w:p>
            <w:pPr>
              <w:spacing w:after="60" w:line="252" w:lineRule="auto"/>
            </w:pPr>
            <w:r>
              <w:rPr>
                <w:b w:val="0"/>
                <w:color w:val="000000"/>
                <w:sz w:val="18"/>
              </w:rPr>
              <w:t>Visible Alpha媒体转述共识约633亿美元；超出约2.1%。[1–2,7；计算]</w:t>
            </w:r>
          </w:p>
        </w:tc>
      </w:tr>
      <w:tr>
        <w:trPr>
          <w:cantSplit/>
        </w:trPr>
        <w:tc>
          <w:tcPr>
            <w:tcW w:type="dxa" w:w="1656"/>
            <w:vAlign w:val="center"/>
            <w:shd w:fill="F1F5F8"/>
            <w:tcMar>
              <w:top w:w="85" w:type="dxa"/>
              <w:left w:w="85" w:type="dxa"/>
              <w:bottom w:w="85" w:type="dxa"/>
              <w:right w:w="85" w:type="dxa"/>
            </w:tcMar>
          </w:tcPr>
          <w:p>
            <w:pPr>
              <w:spacing w:after="60" w:line="252" w:lineRule="auto"/>
            </w:pPr>
            <w:r>
              <w:rPr>
                <w:b w:val="0"/>
                <w:color w:val="000000"/>
                <w:sz w:val="18"/>
              </w:rPr>
              <w:t>GAAP营业利润 / 利润率</w:t>
            </w:r>
          </w:p>
        </w:tc>
        <w:tc>
          <w:tcPr>
            <w:tcW w:type="dxa" w:w="1800"/>
            <w:vAlign w:val="center"/>
            <w:shd w:fill="F1F5F8"/>
            <w:tcMar>
              <w:top w:w="85" w:type="dxa"/>
              <w:left w:w="85" w:type="dxa"/>
              <w:bottom w:w="85" w:type="dxa"/>
              <w:right w:w="85" w:type="dxa"/>
            </w:tcMar>
          </w:tcPr>
          <w:p>
            <w:pPr>
              <w:spacing w:after="60" w:line="252" w:lineRule="auto"/>
            </w:pPr>
            <w:r>
              <w:rPr>
                <w:b w:val="0"/>
                <w:color w:val="000000"/>
                <w:sz w:val="18"/>
              </w:rPr>
              <w:t>129.88亿美元 / 20.1%</w:t>
            </w:r>
          </w:p>
        </w:tc>
        <w:tc>
          <w:tcPr>
            <w:tcW w:type="dxa" w:w="1944"/>
            <w:vAlign w:val="center"/>
            <w:shd w:fill="F1F5F8"/>
            <w:tcMar>
              <w:top w:w="85" w:type="dxa"/>
              <w:left w:w="85" w:type="dxa"/>
              <w:bottom w:w="85" w:type="dxa"/>
              <w:right w:w="85" w:type="dxa"/>
            </w:tcMar>
          </w:tcPr>
          <w:p>
            <w:pPr>
              <w:spacing w:after="60" w:line="252" w:lineRule="auto"/>
            </w:pPr>
            <w:r>
              <w:rPr>
                <w:b w:val="0"/>
                <w:color w:val="000000"/>
                <w:sz w:val="18"/>
              </w:rPr>
              <w:t>205.35亿美元 / 40.1%</w:t>
            </w:r>
          </w:p>
        </w:tc>
        <w:tc>
          <w:tcPr>
            <w:tcW w:type="dxa" w:w="4680"/>
            <w:vAlign w:val="center"/>
            <w:shd w:fill="F1F5F8"/>
            <w:tcMar>
              <w:top w:w="85" w:type="dxa"/>
              <w:left w:w="85" w:type="dxa"/>
              <w:bottom w:w="85" w:type="dxa"/>
              <w:right w:w="85" w:type="dxa"/>
            </w:tcMar>
          </w:tcPr>
          <w:p>
            <w:pPr>
              <w:spacing w:after="60" w:line="252" w:lineRule="auto"/>
            </w:pPr>
            <w:r>
              <w:rPr>
                <w:b w:val="0"/>
                <w:color w:val="000000"/>
                <w:sz w:val="18"/>
              </w:rPr>
              <w:t>包含98.9亿美元诉讼费用；不能全部解释为AI成本。[1–2；计算]</w:t>
            </w:r>
          </w:p>
        </w:tc>
      </w:tr>
      <w:tr>
        <w:trPr>
          <w:cantSplit/>
        </w:trPr>
        <w:tc>
          <w:tcPr>
            <w:tcW w:type="dxa" w:w="1656"/>
            <w:vAlign w:val="center"/>
            <w:shd w:fill="FFFFFF"/>
            <w:tcMar>
              <w:top w:w="85" w:type="dxa"/>
              <w:left w:w="85" w:type="dxa"/>
              <w:bottom w:w="85" w:type="dxa"/>
              <w:right w:w="85" w:type="dxa"/>
            </w:tcMar>
          </w:tcPr>
          <w:p>
            <w:pPr>
              <w:spacing w:after="60" w:line="252" w:lineRule="auto"/>
            </w:pPr>
            <w:r>
              <w:rPr>
                <w:b w:val="0"/>
                <w:color w:val="000000"/>
                <w:sz w:val="18"/>
              </w:rPr>
              <w:t>剔除诉讼营业利润 / 利润率</w:t>
            </w:r>
          </w:p>
        </w:tc>
        <w:tc>
          <w:tcPr>
            <w:tcW w:type="dxa" w:w="1800"/>
            <w:vAlign w:val="center"/>
            <w:shd w:fill="FFFFFF"/>
            <w:tcMar>
              <w:top w:w="85" w:type="dxa"/>
              <w:left w:w="85" w:type="dxa"/>
              <w:bottom w:w="85" w:type="dxa"/>
              <w:right w:w="85" w:type="dxa"/>
            </w:tcMar>
          </w:tcPr>
          <w:p>
            <w:pPr>
              <w:spacing w:after="60" w:line="252" w:lineRule="auto"/>
            </w:pPr>
            <w:r>
              <w:rPr>
                <w:b w:val="0"/>
                <w:color w:val="000000"/>
                <w:sz w:val="18"/>
              </w:rPr>
              <w:t>228.78亿美元 / 35.4%</w:t>
            </w:r>
          </w:p>
        </w:tc>
        <w:tc>
          <w:tcPr>
            <w:tcW w:type="dxa" w:w="1944"/>
            <w:vAlign w:val="center"/>
            <w:shd w:fill="FFFFFF"/>
            <w:tcMar>
              <w:top w:w="85" w:type="dxa"/>
              <w:left w:w="85" w:type="dxa"/>
              <w:bottom w:w="85" w:type="dxa"/>
              <w:right w:w="85" w:type="dxa"/>
            </w:tcMar>
          </w:tcPr>
          <w:p>
            <w:pPr>
              <w:spacing w:after="60" w:line="252" w:lineRule="auto"/>
            </w:pPr>
            <w:r>
              <w:rPr>
                <w:b w:val="0"/>
                <w:color w:val="000000"/>
                <w:sz w:val="18"/>
              </w:rPr>
              <w:t>205.35亿美元 / 40.1%</w:t>
            </w:r>
          </w:p>
        </w:tc>
        <w:tc>
          <w:tcPr>
            <w:tcW w:type="dxa" w:w="4680"/>
            <w:vAlign w:val="center"/>
            <w:shd w:fill="FFFFFF"/>
            <w:tcMar>
              <w:top w:w="85" w:type="dxa"/>
              <w:left w:w="85" w:type="dxa"/>
              <w:bottom w:w="85" w:type="dxa"/>
              <w:right w:w="85" w:type="dxa"/>
            </w:tcMar>
          </w:tcPr>
          <w:p>
            <w:pPr>
              <w:spacing w:after="60" w:line="252" w:lineRule="auto"/>
            </w:pPr>
            <w:r>
              <w:rPr>
                <w:b w:val="0"/>
                <w:color w:val="000000"/>
                <w:sz w:val="18"/>
              </w:rPr>
              <w:t>利润增长11.4%，利润率仍降约4.7个百分点。[1–2；计算]</w:t>
            </w:r>
          </w:p>
        </w:tc>
      </w:tr>
      <w:tr>
        <w:trPr>
          <w:cantSplit/>
        </w:trPr>
        <w:tc>
          <w:tcPr>
            <w:tcW w:type="dxa" w:w="1656"/>
            <w:vAlign w:val="center"/>
            <w:shd w:fill="F1F5F8"/>
            <w:tcMar>
              <w:top w:w="85" w:type="dxa"/>
              <w:left w:w="85" w:type="dxa"/>
              <w:bottom w:w="85" w:type="dxa"/>
              <w:right w:w="85" w:type="dxa"/>
            </w:tcMar>
          </w:tcPr>
          <w:p>
            <w:pPr>
              <w:spacing w:after="60" w:line="252" w:lineRule="auto"/>
            </w:pPr>
            <w:r>
              <w:rPr>
                <w:b w:val="0"/>
                <w:color w:val="000000"/>
                <w:sz w:val="18"/>
              </w:rPr>
              <w:t>GAAP净利润 / 稀释EPS</w:t>
            </w:r>
          </w:p>
        </w:tc>
        <w:tc>
          <w:tcPr>
            <w:tcW w:type="dxa" w:w="1800"/>
            <w:vAlign w:val="center"/>
            <w:shd w:fill="F1F5F8"/>
            <w:tcMar>
              <w:top w:w="85" w:type="dxa"/>
              <w:left w:w="85" w:type="dxa"/>
              <w:bottom w:w="85" w:type="dxa"/>
              <w:right w:w="85" w:type="dxa"/>
            </w:tcMar>
          </w:tcPr>
          <w:p>
            <w:pPr>
              <w:spacing w:after="60" w:line="252" w:lineRule="auto"/>
            </w:pPr>
            <w:r>
              <w:rPr>
                <w:b w:val="0"/>
                <w:color w:val="000000"/>
                <w:sz w:val="18"/>
              </w:rPr>
              <w:t>98.60亿美元 / 3.83美元</w:t>
            </w:r>
          </w:p>
        </w:tc>
        <w:tc>
          <w:tcPr>
            <w:tcW w:type="dxa" w:w="1944"/>
            <w:vAlign w:val="center"/>
            <w:shd w:fill="F1F5F8"/>
            <w:tcMar>
              <w:top w:w="85" w:type="dxa"/>
              <w:left w:w="85" w:type="dxa"/>
              <w:bottom w:w="85" w:type="dxa"/>
              <w:right w:w="85" w:type="dxa"/>
            </w:tcMar>
          </w:tcPr>
          <w:p>
            <w:pPr>
              <w:spacing w:after="60" w:line="252" w:lineRule="auto"/>
            </w:pPr>
            <w:r>
              <w:rPr>
                <w:b w:val="0"/>
                <w:color w:val="000000"/>
                <w:sz w:val="18"/>
              </w:rPr>
              <w:t>27.09亿美元 / 1.05美元</w:t>
            </w:r>
          </w:p>
        </w:tc>
        <w:tc>
          <w:tcPr>
            <w:tcW w:type="dxa" w:w="4680"/>
            <w:vAlign w:val="center"/>
            <w:shd w:fill="F1F5F8"/>
            <w:tcMar>
              <w:top w:w="85" w:type="dxa"/>
              <w:left w:w="85" w:type="dxa"/>
              <w:bottom w:w="85" w:type="dxa"/>
              <w:right w:w="85" w:type="dxa"/>
            </w:tcMar>
          </w:tcPr>
          <w:p>
            <w:pPr>
              <w:spacing w:after="60" w:line="252" w:lineRule="auto"/>
            </w:pPr>
            <w:r>
              <w:rPr>
                <w:b w:val="0"/>
                <w:color w:val="000000"/>
                <w:sz w:val="18"/>
              </w:rPr>
              <w:t>同比扭曲，见盈利质量桥。[1–2,5]</w:t>
            </w:r>
          </w:p>
        </w:tc>
      </w:tr>
      <w:tr>
        <w:trPr>
          <w:cantSplit/>
        </w:trPr>
        <w:tc>
          <w:tcPr>
            <w:tcW w:type="dxa" w:w="1656"/>
            <w:vAlign w:val="center"/>
            <w:shd w:fill="FFFFFF"/>
            <w:tcMar>
              <w:top w:w="85" w:type="dxa"/>
              <w:left w:w="85" w:type="dxa"/>
              <w:bottom w:w="85" w:type="dxa"/>
              <w:right w:w="85" w:type="dxa"/>
            </w:tcMar>
          </w:tcPr>
          <w:p>
            <w:pPr>
              <w:spacing w:after="60" w:line="252" w:lineRule="auto"/>
            </w:pPr>
            <w:r>
              <w:rPr>
                <w:b w:val="0"/>
                <w:color w:val="000000"/>
                <w:sz w:val="18"/>
              </w:rPr>
              <w:t>经营现金流 / 资本开支</w:t>
            </w:r>
          </w:p>
        </w:tc>
        <w:tc>
          <w:tcPr>
            <w:tcW w:type="dxa" w:w="1800"/>
            <w:vAlign w:val="center"/>
            <w:shd w:fill="FFFFFF"/>
            <w:tcMar>
              <w:top w:w="85" w:type="dxa"/>
              <w:left w:w="85" w:type="dxa"/>
              <w:bottom w:w="85" w:type="dxa"/>
              <w:right w:w="85" w:type="dxa"/>
            </w:tcMar>
          </w:tcPr>
          <w:p>
            <w:pPr>
              <w:spacing w:after="60" w:line="252" w:lineRule="auto"/>
            </w:pPr>
            <w:r>
              <w:rPr>
                <w:b w:val="0"/>
                <w:color w:val="000000"/>
                <w:sz w:val="18"/>
              </w:rPr>
              <w:t>327.86亿 / 349.06亿美元</w:t>
            </w:r>
          </w:p>
        </w:tc>
        <w:tc>
          <w:tcPr>
            <w:tcW w:type="dxa" w:w="1944"/>
            <w:vAlign w:val="center"/>
            <w:shd w:fill="FFFFFF"/>
            <w:tcMar>
              <w:top w:w="85" w:type="dxa"/>
              <w:left w:w="85" w:type="dxa"/>
              <w:bottom w:w="85" w:type="dxa"/>
              <w:right w:w="85" w:type="dxa"/>
            </w:tcMar>
          </w:tcPr>
          <w:p>
            <w:pPr>
              <w:spacing w:after="60" w:line="252" w:lineRule="auto"/>
            </w:pPr>
            <w:r>
              <w:rPr>
                <w:b w:val="0"/>
                <w:color w:val="000000"/>
                <w:sz w:val="18"/>
              </w:rPr>
              <w:t>299.99亿 / 193.74亿美元</w:t>
            </w:r>
          </w:p>
        </w:tc>
        <w:tc>
          <w:tcPr>
            <w:tcW w:type="dxa" w:w="4680"/>
            <w:vAlign w:val="center"/>
            <w:shd w:fill="FFFFFF"/>
            <w:tcMar>
              <w:top w:w="85" w:type="dxa"/>
              <w:left w:w="85" w:type="dxa"/>
              <w:bottom w:w="85" w:type="dxa"/>
              <w:right w:w="85" w:type="dxa"/>
            </w:tcMar>
          </w:tcPr>
          <w:p>
            <w:pPr>
              <w:spacing w:after="60" w:line="252" w:lineRule="auto"/>
            </w:pPr>
            <w:r>
              <w:rPr>
                <w:b w:val="0"/>
                <w:color w:val="000000"/>
                <w:sz w:val="18"/>
              </w:rPr>
              <w:t>现金流+9.3%，资本开支+80.2%；资本开支含租赁本金。[1–2；计算]</w:t>
            </w:r>
          </w:p>
        </w:tc>
      </w:tr>
      <w:tr>
        <w:trPr>
          <w:cantSplit/>
        </w:trPr>
        <w:tc>
          <w:tcPr>
            <w:tcW w:type="dxa" w:w="1656"/>
            <w:vAlign w:val="center"/>
            <w:shd w:fill="F1F5F8"/>
            <w:tcMar>
              <w:top w:w="85" w:type="dxa"/>
              <w:left w:w="85" w:type="dxa"/>
              <w:bottom w:w="85" w:type="dxa"/>
              <w:right w:w="85" w:type="dxa"/>
            </w:tcMar>
          </w:tcPr>
          <w:p>
            <w:pPr>
              <w:spacing w:after="60" w:line="252" w:lineRule="auto"/>
            </w:pPr>
            <w:r>
              <w:rPr>
                <w:b w:val="0"/>
                <w:color w:val="000000"/>
                <w:sz w:val="18"/>
              </w:rPr>
              <w:t>折旧及摊销</w:t>
            </w:r>
          </w:p>
        </w:tc>
        <w:tc>
          <w:tcPr>
            <w:tcW w:type="dxa" w:w="1800"/>
            <w:vAlign w:val="center"/>
            <w:shd w:fill="F1F5F8"/>
            <w:tcMar>
              <w:top w:w="85" w:type="dxa"/>
              <w:left w:w="85" w:type="dxa"/>
              <w:bottom w:w="85" w:type="dxa"/>
              <w:right w:w="85" w:type="dxa"/>
            </w:tcMar>
          </w:tcPr>
          <w:p>
            <w:pPr>
              <w:spacing w:after="60" w:line="252" w:lineRule="auto"/>
            </w:pPr>
            <w:r>
              <w:rPr>
                <w:b w:val="0"/>
                <w:color w:val="000000"/>
                <w:sz w:val="18"/>
              </w:rPr>
              <w:t>71.54亿美元</w:t>
            </w:r>
          </w:p>
        </w:tc>
        <w:tc>
          <w:tcPr>
            <w:tcW w:type="dxa" w:w="1944"/>
            <w:vAlign w:val="center"/>
            <w:shd w:fill="F1F5F8"/>
            <w:tcMar>
              <w:top w:w="85" w:type="dxa"/>
              <w:left w:w="85" w:type="dxa"/>
              <w:bottom w:w="85" w:type="dxa"/>
              <w:right w:w="85" w:type="dxa"/>
            </w:tcMar>
          </w:tcPr>
          <w:p>
            <w:pPr>
              <w:spacing w:after="60" w:line="252" w:lineRule="auto"/>
            </w:pPr>
            <w:r>
              <w:rPr>
                <w:b w:val="0"/>
                <w:color w:val="000000"/>
                <w:sz w:val="18"/>
              </w:rPr>
              <w:t>49.63亿美元；+44.1%</w:t>
            </w:r>
          </w:p>
        </w:tc>
        <w:tc>
          <w:tcPr>
            <w:tcW w:type="dxa" w:w="4680"/>
            <w:vAlign w:val="center"/>
            <w:shd w:fill="F1F5F8"/>
            <w:tcMar>
              <w:top w:w="85" w:type="dxa"/>
              <w:left w:w="85" w:type="dxa"/>
              <w:bottom w:w="85" w:type="dxa"/>
              <w:right w:w="85" w:type="dxa"/>
            </w:tcMar>
          </w:tcPr>
          <w:p>
            <w:pPr>
              <w:spacing w:after="60" w:line="252" w:lineRule="auto"/>
            </w:pPr>
            <w:r>
              <w:rPr>
                <w:b w:val="0"/>
                <w:color w:val="000000"/>
                <w:sz w:val="18"/>
              </w:rPr>
              <w:t>合并口径，不能全部视为AI服务器折旧。[1–2；计算]</w:t>
            </w:r>
          </w:p>
        </w:tc>
      </w:tr>
    </w:tbl>
    <w:p>
      <w:r>
        <w:t>美国通用会计准则（GAAP）；稀释每股收益（EPS）。收入共识来自2026年10月21日媒体，原始估计截点未提供。EPS共识6.54美元的调整口径未独立验证，因此不计算EPS超预期幅度。[8]</w:t>
      </w:r>
    </w:p>
    <w:p>
      <w:pPr>
        <w:pStyle w:val="Heading2"/>
      </w:pPr>
      <w:r>
        <w:t>盈利质量桥与指引变化</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00"/>
        <w:gridCol w:w="3672"/>
        <w:gridCol w:w="4608"/>
      </w:tblGrid>
      <w:tr>
        <w:trPr>
          <w:tblHeader/>
          <w:cantSplit/>
        </w:trPr>
        <w:tc>
          <w:tcPr>
            <w:tcW w:type="dxa" w:w="1800"/>
            <w:vAlign w:val="center"/>
            <w:shd w:fill="17324D"/>
            <w:tcMar>
              <w:top w:w="85" w:type="dxa"/>
              <w:left w:w="85" w:type="dxa"/>
              <w:bottom w:w="85" w:type="dxa"/>
              <w:right w:w="85" w:type="dxa"/>
            </w:tcMar>
          </w:tcPr>
          <w:p>
            <w:pPr>
              <w:spacing w:after="60" w:line="252" w:lineRule="auto"/>
            </w:pPr>
            <w:r>
              <w:rPr>
                <w:b/>
                <w:color w:val="FFFFFF"/>
                <w:sz w:val="18"/>
              </w:rPr>
              <w:t>项目</w:t>
            </w:r>
          </w:p>
        </w:tc>
        <w:tc>
          <w:tcPr>
            <w:tcW w:type="dxa" w:w="3672"/>
            <w:vAlign w:val="center"/>
            <w:shd w:fill="17324D"/>
            <w:tcMar>
              <w:top w:w="85" w:type="dxa"/>
              <w:left w:w="85" w:type="dxa"/>
              <w:bottom w:w="85" w:type="dxa"/>
              <w:right w:w="85" w:type="dxa"/>
            </w:tcMar>
          </w:tcPr>
          <w:p>
            <w:pPr>
              <w:spacing w:after="60" w:line="252" w:lineRule="auto"/>
            </w:pPr>
            <w:r>
              <w:rPr>
                <w:b/>
                <w:color w:val="FFFFFF"/>
                <w:sz w:val="18"/>
              </w:rPr>
              <w:t>桥接或区间</w:t>
            </w:r>
          </w:p>
        </w:tc>
        <w:tc>
          <w:tcPr>
            <w:tcW w:type="dxa" w:w="4608"/>
            <w:vAlign w:val="center"/>
            <w:shd w:fill="17324D"/>
            <w:tcMar>
              <w:top w:w="85" w:type="dxa"/>
              <w:left w:w="85" w:type="dxa"/>
              <w:bottom w:w="85" w:type="dxa"/>
              <w:right w:w="85" w:type="dxa"/>
            </w:tcMar>
          </w:tcPr>
          <w:p>
            <w:pPr>
              <w:spacing w:after="60" w:line="252" w:lineRule="auto"/>
            </w:pPr>
            <w:r>
              <w:rPr>
                <w:b/>
                <w:color w:val="FFFFFF"/>
                <w:sz w:val="18"/>
              </w:rPr>
              <w:t>研究处理</w:t>
            </w:r>
          </w:p>
        </w:tc>
      </w:tr>
      <w:tr>
        <w:trPr>
          <w:cantSplit/>
        </w:trPr>
        <w:tc>
          <w:tcPr>
            <w:tcW w:type="dxa" w:w="1800"/>
            <w:vAlign w:val="center"/>
            <w:shd w:fill="FFFFFF"/>
            <w:tcMar>
              <w:top w:w="85" w:type="dxa"/>
              <w:left w:w="85" w:type="dxa"/>
              <w:bottom w:w="85" w:type="dxa"/>
              <w:right w:w="85" w:type="dxa"/>
            </w:tcMar>
          </w:tcPr>
          <w:p>
            <w:pPr>
              <w:spacing w:after="60" w:line="252" w:lineRule="auto"/>
            </w:pPr>
            <w:r>
              <w:rPr>
                <w:b w:val="0"/>
                <w:color w:val="000000"/>
                <w:sz w:val="18"/>
              </w:rPr>
              <w:t>2026年Q3 EPS</w:t>
            </w:r>
          </w:p>
        </w:tc>
        <w:tc>
          <w:tcPr>
            <w:tcW w:type="dxa" w:w="3672"/>
            <w:vAlign w:val="center"/>
            <w:shd w:fill="FFFFFF"/>
            <w:tcMar>
              <w:top w:w="85" w:type="dxa"/>
              <w:left w:w="85" w:type="dxa"/>
              <w:bottom w:w="85" w:type="dxa"/>
              <w:right w:w="85" w:type="dxa"/>
            </w:tcMar>
          </w:tcPr>
          <w:p>
            <w:pPr>
              <w:spacing w:after="60" w:line="252" w:lineRule="auto"/>
            </w:pPr>
            <w:r>
              <w:rPr>
                <w:b w:val="0"/>
                <w:color w:val="000000"/>
                <w:sz w:val="18"/>
              </w:rPr>
              <w:t>GAAP 3.83 + 诉讼税后影响3.57 = 7.40美元</w:t>
            </w:r>
          </w:p>
        </w:tc>
        <w:tc>
          <w:tcPr>
            <w:tcW w:type="dxa" w:w="4608"/>
            <w:vAlign w:val="center"/>
            <w:shd w:fill="FFFFFF"/>
            <w:tcMar>
              <w:top w:w="85" w:type="dxa"/>
              <w:left w:w="85" w:type="dxa"/>
              <w:bottom w:w="85" w:type="dxa"/>
              <w:right w:w="85" w:type="dxa"/>
            </w:tcMar>
          </w:tcPr>
          <w:p>
            <w:pPr>
              <w:spacing w:after="60" w:line="252" w:lineRule="auto"/>
            </w:pPr>
            <w:r>
              <w:rPr>
                <w:b w:val="0"/>
                <w:color w:val="000000"/>
                <w:sz w:val="18"/>
              </w:rPr>
              <w:t>公司提供的单项调整；不是剔除全部特殊项目后的经常性EPS。[1]</w:t>
            </w:r>
          </w:p>
        </w:tc>
      </w:tr>
      <w:tr>
        <w:trPr>
          <w:cantSplit/>
        </w:trPr>
        <w:tc>
          <w:tcPr>
            <w:tcW w:type="dxa" w:w="1800"/>
            <w:vAlign w:val="center"/>
            <w:shd w:fill="F1F5F8"/>
            <w:tcMar>
              <w:top w:w="85" w:type="dxa"/>
              <w:left w:w="85" w:type="dxa"/>
              <w:bottom w:w="85" w:type="dxa"/>
              <w:right w:w="85" w:type="dxa"/>
            </w:tcMar>
          </w:tcPr>
          <w:p>
            <w:pPr>
              <w:spacing w:after="60" w:line="252" w:lineRule="auto"/>
            </w:pPr>
            <w:r>
              <w:rPr>
                <w:b w:val="0"/>
                <w:color w:val="000000"/>
                <w:sz w:val="18"/>
              </w:rPr>
              <w:t>2025年Q3 EPS</w:t>
            </w:r>
          </w:p>
        </w:tc>
        <w:tc>
          <w:tcPr>
            <w:tcW w:type="dxa" w:w="3672"/>
            <w:vAlign w:val="center"/>
            <w:shd w:fill="F1F5F8"/>
            <w:tcMar>
              <w:top w:w="85" w:type="dxa"/>
              <w:left w:w="85" w:type="dxa"/>
              <w:bottom w:w="85" w:type="dxa"/>
              <w:right w:w="85" w:type="dxa"/>
            </w:tcMar>
          </w:tcPr>
          <w:p>
            <w:pPr>
              <w:spacing w:after="60" w:line="252" w:lineRule="auto"/>
            </w:pPr>
            <w:r>
              <w:rPr>
                <w:b w:val="0"/>
                <w:color w:val="000000"/>
                <w:sz w:val="18"/>
              </w:rPr>
              <w:t>GAAP 1.05 + 一次性税项6.20 = 7.25美元</w:t>
            </w:r>
          </w:p>
        </w:tc>
        <w:tc>
          <w:tcPr>
            <w:tcW w:type="dxa" w:w="4608"/>
            <w:vAlign w:val="center"/>
            <w:shd w:fill="F1F5F8"/>
            <w:tcMar>
              <w:top w:w="85" w:type="dxa"/>
              <w:left w:w="85" w:type="dxa"/>
              <w:bottom w:w="85" w:type="dxa"/>
              <w:right w:w="85" w:type="dxa"/>
            </w:tcMar>
          </w:tcPr>
          <w:p>
            <w:pPr>
              <w:spacing w:after="60" w:line="252" w:lineRule="auto"/>
            </w:pPr>
            <w:r>
              <w:rPr>
                <w:b w:val="0"/>
                <w:color w:val="000000"/>
                <w:sz w:val="18"/>
              </w:rPr>
              <w:t>对照调整后增幅约2.1%，不是GAAP同比265%。[5；计算]</w:t>
            </w:r>
          </w:p>
        </w:tc>
      </w:tr>
      <w:tr>
        <w:trPr>
          <w:cantSplit/>
        </w:trPr>
        <w:tc>
          <w:tcPr>
            <w:tcW w:type="dxa" w:w="1800"/>
            <w:vAlign w:val="center"/>
            <w:shd w:fill="FFFFFF"/>
            <w:tcMar>
              <w:top w:w="85" w:type="dxa"/>
              <w:left w:w="85" w:type="dxa"/>
              <w:bottom w:w="85" w:type="dxa"/>
              <w:right w:w="85" w:type="dxa"/>
            </w:tcMar>
          </w:tcPr>
          <w:p>
            <w:pPr>
              <w:spacing w:after="60" w:line="252" w:lineRule="auto"/>
            </w:pPr>
            <w:r>
              <w:rPr>
                <w:b w:val="0"/>
                <w:color w:val="000000"/>
                <w:sz w:val="18"/>
              </w:rPr>
              <w:t>其他盈利质量检查</w:t>
            </w:r>
          </w:p>
        </w:tc>
        <w:tc>
          <w:tcPr>
            <w:tcW w:type="dxa" w:w="3672"/>
            <w:vAlign w:val="center"/>
            <w:shd w:fill="FFFFFF"/>
            <w:tcMar>
              <w:top w:w="85" w:type="dxa"/>
              <w:left w:w="85" w:type="dxa"/>
              <w:bottom w:w="85" w:type="dxa"/>
              <w:right w:w="85" w:type="dxa"/>
            </w:tcMar>
          </w:tcPr>
          <w:p>
            <w:pPr>
              <w:spacing w:after="60" w:line="252" w:lineRule="auto"/>
            </w:pPr>
            <w:r>
              <w:rPr>
                <w:b w:val="0"/>
                <w:color w:val="000000"/>
                <w:sz w:val="18"/>
              </w:rPr>
              <w:t>有效税率24%；剔诉讼17%；去年剔税项14%</w:t>
            </w:r>
          </w:p>
        </w:tc>
        <w:tc>
          <w:tcPr>
            <w:tcW w:type="dxa" w:w="4608"/>
            <w:vAlign w:val="center"/>
            <w:shd w:fill="FFFFFF"/>
            <w:tcMar>
              <w:top w:w="85" w:type="dxa"/>
              <w:left w:w="85" w:type="dxa"/>
              <w:bottom w:w="85" w:type="dxa"/>
              <w:right w:w="85" w:type="dxa"/>
            </w:tcMar>
          </w:tcPr>
          <w:p>
            <w:pPr>
              <w:spacing w:after="60" w:line="252" w:lineRule="auto"/>
            </w:pPr>
            <w:r>
              <w:rPr>
                <w:b w:val="0"/>
                <w:color w:val="000000"/>
                <w:sz w:val="18"/>
              </w:rPr>
              <w:t>税率仍不一致；股权激励保留，未任意归零。[1,5]</w:t>
            </w:r>
          </w:p>
        </w:tc>
      </w:tr>
      <w:tr>
        <w:trPr>
          <w:cantSplit/>
        </w:trPr>
        <w:tc>
          <w:tcPr>
            <w:tcW w:type="dxa" w:w="1800"/>
            <w:vAlign w:val="center"/>
            <w:shd w:fill="F1F5F8"/>
            <w:tcMar>
              <w:top w:w="85" w:type="dxa"/>
              <w:left w:w="85" w:type="dxa"/>
              <w:bottom w:w="85" w:type="dxa"/>
              <w:right w:w="85" w:type="dxa"/>
            </w:tcMar>
          </w:tcPr>
          <w:p>
            <w:pPr>
              <w:spacing w:after="60" w:line="252" w:lineRule="auto"/>
            </w:pPr>
            <w:r>
              <w:rPr>
                <w:b w:val="0"/>
                <w:color w:val="000000"/>
                <w:sz w:val="18"/>
              </w:rPr>
              <w:t>股份与非经营项目</w:t>
            </w:r>
          </w:p>
        </w:tc>
        <w:tc>
          <w:tcPr>
            <w:tcW w:type="dxa" w:w="3672"/>
            <w:vAlign w:val="center"/>
            <w:shd w:fill="F1F5F8"/>
            <w:tcMar>
              <w:top w:w="85" w:type="dxa"/>
              <w:left w:w="85" w:type="dxa"/>
              <w:bottom w:w="85" w:type="dxa"/>
              <w:right w:w="85" w:type="dxa"/>
            </w:tcMar>
          </w:tcPr>
          <w:p>
            <w:pPr>
              <w:spacing w:after="60" w:line="252" w:lineRule="auto"/>
            </w:pPr>
            <w:r>
              <w:rPr>
                <w:b w:val="0"/>
                <w:color w:val="000000"/>
                <w:sz w:val="18"/>
              </w:rPr>
              <w:t>稀释股数25.73亿 对比 25.72亿；利息及其他净收入0.13亿 对比 11.28亿美元</w:t>
            </w:r>
          </w:p>
        </w:tc>
        <w:tc>
          <w:tcPr>
            <w:tcW w:type="dxa" w:w="4608"/>
            <w:vAlign w:val="center"/>
            <w:shd w:fill="F1F5F8"/>
            <w:tcMar>
              <w:top w:w="85" w:type="dxa"/>
              <w:left w:w="85" w:type="dxa"/>
              <w:bottom w:w="85" w:type="dxa"/>
              <w:right w:w="85" w:type="dxa"/>
            </w:tcMar>
          </w:tcPr>
          <w:p>
            <w:pPr>
              <w:spacing w:after="60" w:line="252" w:lineRule="auto"/>
            </w:pPr>
            <w:r>
              <w:rPr>
                <w:b w:val="0"/>
                <w:color w:val="000000"/>
                <w:sz w:val="18"/>
              </w:rPr>
              <w:t>股数基本持平；非经营收益下降，不额外编造净化EPS。[1–2]</w:t>
            </w:r>
          </w:p>
        </w:tc>
      </w:tr>
      <w:tr>
        <w:trPr>
          <w:cantSplit/>
        </w:trPr>
        <w:tc>
          <w:tcPr>
            <w:tcW w:type="dxa" w:w="1800"/>
            <w:vAlign w:val="center"/>
            <w:shd w:fill="FFFFFF"/>
            <w:tcMar>
              <w:top w:w="85" w:type="dxa"/>
              <w:left w:w="85" w:type="dxa"/>
              <w:bottom w:w="85" w:type="dxa"/>
              <w:right w:w="85" w:type="dxa"/>
            </w:tcMar>
          </w:tcPr>
          <w:p>
            <w:pPr>
              <w:spacing w:after="60" w:line="252" w:lineRule="auto"/>
            </w:pPr>
            <w:r>
              <w:rPr>
                <w:b w:val="0"/>
                <w:color w:val="000000"/>
                <w:sz w:val="18"/>
              </w:rPr>
              <w:t>Q4收入指引</w:t>
            </w:r>
          </w:p>
        </w:tc>
        <w:tc>
          <w:tcPr>
            <w:tcW w:type="dxa" w:w="3672"/>
            <w:vAlign w:val="center"/>
            <w:shd w:fill="FFFFFF"/>
            <w:tcMar>
              <w:top w:w="85" w:type="dxa"/>
              <w:left w:w="85" w:type="dxa"/>
              <w:bottom w:w="85" w:type="dxa"/>
              <w:right w:w="85" w:type="dxa"/>
            </w:tcMar>
          </w:tcPr>
          <w:p>
            <w:pPr>
              <w:spacing w:after="60" w:line="252" w:lineRule="auto"/>
            </w:pPr>
            <w:r>
              <w:rPr>
                <w:b w:val="0"/>
                <w:color w:val="000000"/>
                <w:sz w:val="18"/>
              </w:rPr>
              <w:t>730亿至760亿美元；中点745亿美元</w:t>
            </w:r>
          </w:p>
        </w:tc>
        <w:tc>
          <w:tcPr>
            <w:tcW w:type="dxa" w:w="4608"/>
            <w:vAlign w:val="center"/>
            <w:shd w:fill="FFFFFF"/>
            <w:tcMar>
              <w:top w:w="85" w:type="dxa"/>
              <w:left w:w="85" w:type="dxa"/>
              <w:bottom w:w="85" w:type="dxa"/>
              <w:right w:w="85" w:type="dxa"/>
            </w:tcMar>
          </w:tcPr>
          <w:p>
            <w:pPr>
              <w:spacing w:after="60" w:line="252" w:lineRule="auto"/>
            </w:pPr>
            <w:r>
              <w:rPr>
                <w:b w:val="0"/>
                <w:color w:val="000000"/>
                <w:sz w:val="18"/>
              </w:rPr>
              <w:t>对媒体转述Visible Alpha共识737.5亿美元约高1.0%；不是全年指引。[1,7；计算]</w:t>
            </w:r>
          </w:p>
        </w:tc>
      </w:tr>
      <w:tr>
        <w:trPr>
          <w:cantSplit/>
        </w:trPr>
        <w:tc>
          <w:tcPr>
            <w:tcW w:type="dxa" w:w="1800"/>
            <w:vAlign w:val="center"/>
            <w:shd w:fill="F1F5F8"/>
            <w:tcMar>
              <w:top w:w="85" w:type="dxa"/>
              <w:left w:w="85" w:type="dxa"/>
              <w:bottom w:w="85" w:type="dxa"/>
              <w:right w:w="85" w:type="dxa"/>
            </w:tcMar>
          </w:tcPr>
          <w:p>
            <w:pPr>
              <w:spacing w:after="60" w:line="252" w:lineRule="auto"/>
            </w:pPr>
            <w:r>
              <w:rPr>
                <w:b w:val="0"/>
                <w:color w:val="000000"/>
                <w:sz w:val="18"/>
              </w:rPr>
              <w:t>2026年资本开支指引</w:t>
            </w:r>
          </w:p>
        </w:tc>
        <w:tc>
          <w:tcPr>
            <w:tcW w:type="dxa" w:w="3672"/>
            <w:vAlign w:val="center"/>
            <w:shd w:fill="F1F5F8"/>
            <w:tcMar>
              <w:top w:w="85" w:type="dxa"/>
              <w:left w:w="85" w:type="dxa"/>
              <w:bottom w:w="85" w:type="dxa"/>
              <w:right w:w="85" w:type="dxa"/>
            </w:tcMar>
          </w:tcPr>
          <w:p>
            <w:pPr>
              <w:spacing w:after="60" w:line="252" w:lineRule="auto"/>
            </w:pPr>
            <w:r>
              <w:rPr>
                <w:b w:val="0"/>
                <w:color w:val="000000"/>
                <w:sz w:val="18"/>
              </w:rPr>
              <w:t>1350亿至1450亿美元；原1300亿至1450亿美元</w:t>
            </w:r>
          </w:p>
        </w:tc>
        <w:tc>
          <w:tcPr>
            <w:tcW w:type="dxa" w:w="4608"/>
            <w:vAlign w:val="center"/>
            <w:shd w:fill="F1F5F8"/>
            <w:tcMar>
              <w:top w:w="85" w:type="dxa"/>
              <w:left w:w="85" w:type="dxa"/>
              <w:bottom w:w="85" w:type="dxa"/>
              <w:right w:w="85" w:type="dxa"/>
            </w:tcMar>
          </w:tcPr>
          <w:p>
            <w:pPr>
              <w:spacing w:after="60" w:line="252" w:lineRule="auto"/>
            </w:pPr>
            <w:r>
              <w:rPr>
                <w:b w:val="0"/>
                <w:color w:val="000000"/>
                <w:sz w:val="18"/>
              </w:rPr>
              <w:t>下限提高50亿，中点由1375亿升至1400亿美元。[1；计算]</w:t>
            </w:r>
          </w:p>
        </w:tc>
      </w:tr>
    </w:tbl>
    <w:p>
      <w:r>
        <w:t>股权激励本季73.63亿美元，同比增长32.5%，属于经济成本；经营现金流将其加回，不意味着股东免费获得现金。[1–2；计算]</w:t>
      </w:r>
    </w:p>
    <w:p>
      <w:pPr>
        <w:pStyle w:val="Heading2"/>
      </w:pPr>
      <w:r>
        <w:t>估值与现金流敏感性 全部为分析假设</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040"/>
        <w:gridCol w:w="1685"/>
        <w:gridCol w:w="1670"/>
        <w:gridCol w:w="1685"/>
      </w:tblGrid>
      <w:tr>
        <w:trPr>
          <w:tblHeader/>
          <w:cantSplit/>
        </w:trPr>
        <w:tc>
          <w:tcPr>
            <w:tcW w:type="dxa" w:w="5040"/>
            <w:vAlign w:val="center"/>
            <w:shd w:fill="17324D"/>
            <w:tcMar>
              <w:top w:w="85" w:type="dxa"/>
              <w:left w:w="85" w:type="dxa"/>
              <w:bottom w:w="85" w:type="dxa"/>
              <w:right w:w="85" w:type="dxa"/>
            </w:tcMar>
          </w:tcPr>
          <w:p>
            <w:pPr>
              <w:spacing w:after="60" w:line="252" w:lineRule="auto"/>
            </w:pPr>
            <w:r>
              <w:rPr>
                <w:b/>
                <w:color w:val="FFFFFF"/>
                <w:sz w:val="18"/>
              </w:rPr>
              <w:t>假设</w:t>
            </w:r>
          </w:p>
        </w:tc>
        <w:tc>
          <w:tcPr>
            <w:tcW w:type="dxa" w:w="1685"/>
            <w:vAlign w:val="center"/>
            <w:shd w:fill="17324D"/>
            <w:tcMar>
              <w:top w:w="85" w:type="dxa"/>
              <w:left w:w="85" w:type="dxa"/>
              <w:bottom w:w="85" w:type="dxa"/>
              <w:right w:w="85" w:type="dxa"/>
            </w:tcMar>
          </w:tcPr>
          <w:p>
            <w:pPr>
              <w:spacing w:after="60" w:line="252" w:lineRule="auto"/>
            </w:pPr>
            <w:r>
              <w:rPr>
                <w:b/>
                <w:color w:val="FFFFFF"/>
                <w:sz w:val="18"/>
              </w:rPr>
              <w:t>低倍数或低投入</w:t>
            </w:r>
          </w:p>
        </w:tc>
        <w:tc>
          <w:tcPr>
            <w:tcW w:type="dxa" w:w="1670"/>
            <w:vAlign w:val="center"/>
            <w:shd w:fill="17324D"/>
            <w:tcMar>
              <w:top w:w="85" w:type="dxa"/>
              <w:left w:w="85" w:type="dxa"/>
              <w:bottom w:w="85" w:type="dxa"/>
              <w:right w:w="85" w:type="dxa"/>
            </w:tcMar>
          </w:tcPr>
          <w:p>
            <w:pPr>
              <w:spacing w:after="60" w:line="252" w:lineRule="auto"/>
            </w:pPr>
            <w:r>
              <w:rPr>
                <w:b/>
                <w:color w:val="FFFFFF"/>
                <w:sz w:val="18"/>
              </w:rPr>
              <w:t>中值</w:t>
            </w:r>
          </w:p>
        </w:tc>
        <w:tc>
          <w:tcPr>
            <w:tcW w:type="dxa" w:w="1685"/>
            <w:vAlign w:val="center"/>
            <w:shd w:fill="17324D"/>
            <w:tcMar>
              <w:top w:w="85" w:type="dxa"/>
              <w:left w:w="85" w:type="dxa"/>
              <w:bottom w:w="85" w:type="dxa"/>
              <w:right w:w="85" w:type="dxa"/>
            </w:tcMar>
          </w:tcPr>
          <w:p>
            <w:pPr>
              <w:spacing w:after="60" w:line="252" w:lineRule="auto"/>
            </w:pPr>
            <w:r>
              <w:rPr>
                <w:b/>
                <w:color w:val="FFFFFF"/>
                <w:sz w:val="18"/>
              </w:rPr>
              <w:t>高倍数或高投入</w:t>
            </w:r>
          </w:p>
        </w:tc>
      </w:tr>
      <w:tr>
        <w:trPr>
          <w:cantSplit/>
        </w:trPr>
        <w:tc>
          <w:tcPr>
            <w:tcW w:type="dxa" w:w="5040"/>
            <w:vAlign w:val="center"/>
            <w:shd w:fill="FFFFFF"/>
            <w:tcMar>
              <w:top w:w="85" w:type="dxa"/>
              <w:left w:w="85" w:type="dxa"/>
              <w:bottom w:w="85" w:type="dxa"/>
              <w:right w:w="85" w:type="dxa"/>
            </w:tcMar>
          </w:tcPr>
          <w:p>
            <w:pPr>
              <w:spacing w:after="60" w:line="252" w:lineRule="auto"/>
            </w:pPr>
            <w:r>
              <w:rPr>
                <w:b w:val="0"/>
                <w:color w:val="000000"/>
                <w:sz w:val="18"/>
              </w:rPr>
              <w:t>正常化年度EPS 28美元 × 市盈率20 / 25 / 30倍</w:t>
            </w:r>
          </w:p>
        </w:tc>
        <w:tc>
          <w:tcPr>
            <w:tcW w:type="dxa" w:w="1685"/>
            <w:vAlign w:val="center"/>
            <w:shd w:fill="FFFFFF"/>
            <w:tcMar>
              <w:top w:w="85" w:type="dxa"/>
              <w:left w:w="85" w:type="dxa"/>
              <w:bottom w:w="85" w:type="dxa"/>
              <w:right w:w="85" w:type="dxa"/>
            </w:tcMar>
          </w:tcPr>
          <w:p>
            <w:pPr>
              <w:spacing w:after="60" w:line="252" w:lineRule="auto"/>
            </w:pPr>
            <w:r>
              <w:rPr>
                <w:b w:val="0"/>
                <w:color w:val="000000"/>
                <w:sz w:val="18"/>
              </w:rPr>
              <w:t>560美元</w:t>
            </w:r>
          </w:p>
        </w:tc>
        <w:tc>
          <w:tcPr>
            <w:tcW w:type="dxa" w:w="1670"/>
            <w:vAlign w:val="center"/>
            <w:shd w:fill="FFFFFF"/>
            <w:tcMar>
              <w:top w:w="85" w:type="dxa"/>
              <w:left w:w="85" w:type="dxa"/>
              <w:bottom w:w="85" w:type="dxa"/>
              <w:right w:w="85" w:type="dxa"/>
            </w:tcMar>
          </w:tcPr>
          <w:p>
            <w:pPr>
              <w:spacing w:after="60" w:line="252" w:lineRule="auto"/>
            </w:pPr>
            <w:r>
              <w:rPr>
                <w:b w:val="0"/>
                <w:color w:val="000000"/>
                <w:sz w:val="18"/>
              </w:rPr>
              <w:t>700美元</w:t>
            </w:r>
          </w:p>
        </w:tc>
        <w:tc>
          <w:tcPr>
            <w:tcW w:type="dxa" w:w="1685"/>
            <w:vAlign w:val="center"/>
            <w:shd w:fill="FFFFFF"/>
            <w:tcMar>
              <w:top w:w="85" w:type="dxa"/>
              <w:left w:w="85" w:type="dxa"/>
              <w:bottom w:w="85" w:type="dxa"/>
              <w:right w:w="85" w:type="dxa"/>
            </w:tcMar>
          </w:tcPr>
          <w:p>
            <w:pPr>
              <w:spacing w:after="60" w:line="252" w:lineRule="auto"/>
            </w:pPr>
            <w:r>
              <w:rPr>
                <w:b w:val="0"/>
                <w:color w:val="000000"/>
                <w:sz w:val="18"/>
              </w:rPr>
              <w:t>840美元</w:t>
            </w:r>
          </w:p>
        </w:tc>
      </w:tr>
      <w:tr>
        <w:trPr>
          <w:cantSplit/>
        </w:trPr>
        <w:tc>
          <w:tcPr>
            <w:tcW w:type="dxa" w:w="5040"/>
            <w:vAlign w:val="center"/>
            <w:shd w:fill="F1F5F8"/>
            <w:tcMar>
              <w:top w:w="85" w:type="dxa"/>
              <w:left w:w="85" w:type="dxa"/>
              <w:bottom w:w="85" w:type="dxa"/>
              <w:right w:w="85" w:type="dxa"/>
            </w:tcMar>
          </w:tcPr>
          <w:p>
            <w:pPr>
              <w:spacing w:after="60" w:line="252" w:lineRule="auto"/>
            </w:pPr>
            <w:r>
              <w:rPr>
                <w:b w:val="0"/>
                <w:color w:val="000000"/>
                <w:sz w:val="18"/>
              </w:rPr>
              <w:t>正常化年度EPS 32美元 × 市盈率20 / 25 / 30倍</w:t>
            </w:r>
          </w:p>
        </w:tc>
        <w:tc>
          <w:tcPr>
            <w:tcW w:type="dxa" w:w="1685"/>
            <w:vAlign w:val="center"/>
            <w:shd w:fill="F1F5F8"/>
            <w:tcMar>
              <w:top w:w="85" w:type="dxa"/>
              <w:left w:w="85" w:type="dxa"/>
              <w:bottom w:w="85" w:type="dxa"/>
              <w:right w:w="85" w:type="dxa"/>
            </w:tcMar>
          </w:tcPr>
          <w:p>
            <w:pPr>
              <w:spacing w:after="60" w:line="252" w:lineRule="auto"/>
            </w:pPr>
            <w:r>
              <w:rPr>
                <w:b w:val="0"/>
                <w:color w:val="000000"/>
                <w:sz w:val="18"/>
              </w:rPr>
              <w:t>640美元</w:t>
            </w:r>
          </w:p>
        </w:tc>
        <w:tc>
          <w:tcPr>
            <w:tcW w:type="dxa" w:w="1670"/>
            <w:vAlign w:val="center"/>
            <w:shd w:fill="F1F5F8"/>
            <w:tcMar>
              <w:top w:w="85" w:type="dxa"/>
              <w:left w:w="85" w:type="dxa"/>
              <w:bottom w:w="85" w:type="dxa"/>
              <w:right w:w="85" w:type="dxa"/>
            </w:tcMar>
          </w:tcPr>
          <w:p>
            <w:pPr>
              <w:spacing w:after="60" w:line="252" w:lineRule="auto"/>
            </w:pPr>
            <w:r>
              <w:rPr>
                <w:b w:val="0"/>
                <w:color w:val="000000"/>
                <w:sz w:val="18"/>
              </w:rPr>
              <w:t>800美元</w:t>
            </w:r>
          </w:p>
        </w:tc>
        <w:tc>
          <w:tcPr>
            <w:tcW w:type="dxa" w:w="1685"/>
            <w:vAlign w:val="center"/>
            <w:shd w:fill="F1F5F8"/>
            <w:tcMar>
              <w:top w:w="85" w:type="dxa"/>
              <w:left w:w="85" w:type="dxa"/>
              <w:bottom w:w="85" w:type="dxa"/>
              <w:right w:w="85" w:type="dxa"/>
            </w:tcMar>
          </w:tcPr>
          <w:p>
            <w:pPr>
              <w:spacing w:after="60" w:line="252" w:lineRule="auto"/>
            </w:pPr>
            <w:r>
              <w:rPr>
                <w:b w:val="0"/>
                <w:color w:val="000000"/>
                <w:sz w:val="18"/>
              </w:rPr>
              <w:t>960美元</w:t>
            </w:r>
          </w:p>
        </w:tc>
      </w:tr>
      <w:tr>
        <w:trPr>
          <w:cantSplit/>
        </w:trPr>
        <w:tc>
          <w:tcPr>
            <w:tcW w:type="dxa" w:w="5040"/>
            <w:vAlign w:val="center"/>
            <w:shd w:fill="FFFFFF"/>
            <w:tcMar>
              <w:top w:w="85" w:type="dxa"/>
              <w:left w:w="85" w:type="dxa"/>
              <w:bottom w:w="85" w:type="dxa"/>
              <w:right w:w="85" w:type="dxa"/>
            </w:tcMar>
          </w:tcPr>
          <w:p>
            <w:pPr>
              <w:spacing w:after="60" w:line="252" w:lineRule="auto"/>
            </w:pPr>
            <w:r>
              <w:rPr>
                <w:b w:val="0"/>
                <w:color w:val="000000"/>
                <w:sz w:val="18"/>
              </w:rPr>
              <w:t>正常化年度EPS 36美元 × 市盈率20 / 25 / 30倍</w:t>
            </w:r>
          </w:p>
        </w:tc>
        <w:tc>
          <w:tcPr>
            <w:tcW w:type="dxa" w:w="1685"/>
            <w:vAlign w:val="center"/>
            <w:shd w:fill="FFFFFF"/>
            <w:tcMar>
              <w:top w:w="85" w:type="dxa"/>
              <w:left w:w="85" w:type="dxa"/>
              <w:bottom w:w="85" w:type="dxa"/>
              <w:right w:w="85" w:type="dxa"/>
            </w:tcMar>
          </w:tcPr>
          <w:p>
            <w:pPr>
              <w:spacing w:after="60" w:line="252" w:lineRule="auto"/>
            </w:pPr>
            <w:r>
              <w:rPr>
                <w:b w:val="0"/>
                <w:color w:val="000000"/>
                <w:sz w:val="18"/>
              </w:rPr>
              <w:t>720美元</w:t>
            </w:r>
          </w:p>
        </w:tc>
        <w:tc>
          <w:tcPr>
            <w:tcW w:type="dxa" w:w="1670"/>
            <w:vAlign w:val="center"/>
            <w:shd w:fill="FFFFFF"/>
            <w:tcMar>
              <w:top w:w="85" w:type="dxa"/>
              <w:left w:w="85" w:type="dxa"/>
              <w:bottom w:w="85" w:type="dxa"/>
              <w:right w:w="85" w:type="dxa"/>
            </w:tcMar>
          </w:tcPr>
          <w:p>
            <w:pPr>
              <w:spacing w:after="60" w:line="252" w:lineRule="auto"/>
            </w:pPr>
            <w:r>
              <w:rPr>
                <w:b w:val="0"/>
                <w:color w:val="000000"/>
                <w:sz w:val="18"/>
              </w:rPr>
              <w:t>900美元</w:t>
            </w:r>
          </w:p>
        </w:tc>
        <w:tc>
          <w:tcPr>
            <w:tcW w:type="dxa" w:w="1685"/>
            <w:vAlign w:val="center"/>
            <w:shd w:fill="FFFFFF"/>
            <w:tcMar>
              <w:top w:w="85" w:type="dxa"/>
              <w:left w:w="85" w:type="dxa"/>
              <w:bottom w:w="85" w:type="dxa"/>
              <w:right w:w="85" w:type="dxa"/>
            </w:tcMar>
          </w:tcPr>
          <w:p>
            <w:pPr>
              <w:spacing w:after="60" w:line="252" w:lineRule="auto"/>
            </w:pPr>
            <w:r>
              <w:rPr>
                <w:b w:val="0"/>
                <w:color w:val="000000"/>
                <w:sz w:val="18"/>
              </w:rPr>
              <w:t>1080美元</w:t>
            </w:r>
          </w:p>
        </w:tc>
      </w:tr>
      <w:tr>
        <w:trPr>
          <w:cantSplit/>
        </w:trPr>
        <w:tc>
          <w:tcPr>
            <w:tcW w:type="dxa" w:w="5040"/>
            <w:vAlign w:val="center"/>
            <w:shd w:fill="F1F5F8"/>
            <w:tcMar>
              <w:top w:w="85" w:type="dxa"/>
              <w:left w:w="85" w:type="dxa"/>
              <w:bottom w:w="85" w:type="dxa"/>
              <w:right w:w="85" w:type="dxa"/>
            </w:tcMar>
          </w:tcPr>
          <w:p>
            <w:pPr>
              <w:spacing w:after="60" w:line="252" w:lineRule="auto"/>
            </w:pPr>
            <w:r>
              <w:rPr>
                <w:b w:val="0"/>
                <w:color w:val="000000"/>
                <w:sz w:val="18"/>
              </w:rPr>
              <w:t>年度经营现金流1400亿美元 − 资本开支1400 / 1700 / 2000亿美元</w:t>
            </w:r>
          </w:p>
        </w:tc>
        <w:tc>
          <w:tcPr>
            <w:tcW w:type="dxa" w:w="1685"/>
            <w:vAlign w:val="center"/>
            <w:shd w:fill="F1F5F8"/>
            <w:tcMar>
              <w:top w:w="85" w:type="dxa"/>
              <w:left w:w="85" w:type="dxa"/>
              <w:bottom w:w="85" w:type="dxa"/>
              <w:right w:w="85" w:type="dxa"/>
            </w:tcMar>
          </w:tcPr>
          <w:p>
            <w:pPr>
              <w:spacing w:after="60" w:line="252" w:lineRule="auto"/>
            </w:pPr>
            <w:r>
              <w:rPr>
                <w:b w:val="0"/>
                <w:color w:val="000000"/>
                <w:sz w:val="18"/>
              </w:rPr>
              <w:t>自由现金流0</w:t>
            </w:r>
          </w:p>
        </w:tc>
        <w:tc>
          <w:tcPr>
            <w:tcW w:type="dxa" w:w="1670"/>
            <w:vAlign w:val="center"/>
            <w:shd w:fill="F1F5F8"/>
            <w:tcMar>
              <w:top w:w="85" w:type="dxa"/>
              <w:left w:w="85" w:type="dxa"/>
              <w:bottom w:w="85" w:type="dxa"/>
              <w:right w:w="85" w:type="dxa"/>
            </w:tcMar>
          </w:tcPr>
          <w:p>
            <w:pPr>
              <w:spacing w:after="60" w:line="252" w:lineRule="auto"/>
            </w:pPr>
            <w:r>
              <w:rPr>
                <w:b w:val="0"/>
                <w:color w:val="000000"/>
                <w:sz w:val="18"/>
              </w:rPr>
              <w:t>自由现金流−300亿美元</w:t>
            </w:r>
          </w:p>
        </w:tc>
        <w:tc>
          <w:tcPr>
            <w:tcW w:type="dxa" w:w="1685"/>
            <w:vAlign w:val="center"/>
            <w:shd w:fill="F1F5F8"/>
            <w:tcMar>
              <w:top w:w="85" w:type="dxa"/>
              <w:left w:w="85" w:type="dxa"/>
              <w:bottom w:w="85" w:type="dxa"/>
              <w:right w:w="85" w:type="dxa"/>
            </w:tcMar>
          </w:tcPr>
          <w:p>
            <w:pPr>
              <w:spacing w:after="60" w:line="252" w:lineRule="auto"/>
            </w:pPr>
            <w:r>
              <w:rPr>
                <w:b w:val="0"/>
                <w:color w:val="000000"/>
                <w:sz w:val="18"/>
              </w:rPr>
              <w:t>自由现金流−600亿美元</w:t>
            </w:r>
          </w:p>
        </w:tc>
      </w:tr>
    </w:tbl>
    <w:p>
      <w:r>
        <w:t>均非预测、目标价或共识。EPS按Class C股息前每股经济权益口径；股息生效后必须重新调整股数及A/C合计价值。现金流假设使用公司含融资租赁本金的资本开支定义；未扣收购、股息及其他融资需求。未核验现价与同口径远期共识，不计算潜在涨跌幅。</w:t>
      </w:r>
    </w:p>
    <w:p>
      <w:pPr>
        <w:pStyle w:val="Heading1"/>
      </w:pPr>
      <w:r>
        <w:t>产业链影响</w:t>
      </w:r>
    </w:p>
    <w:p>
      <w:pPr>
        <w:pStyle w:val="Heading2"/>
      </w:pPr>
      <w:r>
        <w:t>算力与内存</w:t>
      </w:r>
    </w:p>
    <w:p>
      <w:r>
        <w:t>分析推断：更多容量需求有利于加速器、服务器及内存需求，但训练与推理、内部芯片与外购、自建与云租用、采购与投用时间均影响分配。没有供应商份额与价格，不能分摊Meta总资本开支。</w:t>
      </w:r>
    </w:p>
    <w:p>
      <w:pPr>
        <w:pStyle w:val="Heading2"/>
      </w:pPr>
      <w:r>
        <w:t>网络与ANET</w:t>
      </w:r>
    </w:p>
    <w:p>
      <w:r>
        <w:t>已披露产品证据：Arista Networks（ANET）10月7日宣布开放以太网机架级架构，合作方包括Meta；6月9日1.6T平台公告也包含Meta基础设施负责人的合作说明。[9–10] 这使网络受益具有具体技术路径：高密度算力需要机架内纵向扩展与机架间横向扩展的互连，网络、光互连、液冷与供电的设计联系更紧。分析推断：ANET的机会取决于Meta新增容量、网络投入占比、供应商份额及交付验收时间，不能直接套用Meta整体资本开支增速。上述产品公告并未披露本次Meta订单金额或对应收入；本报告不据此数字上修ANET盈利。下一次ANET财报应核验AI网络收入、1.6T交付、客户集中度及产品毛利。</w:t>
      </w:r>
    </w:p>
    <w:p>
      <w:pPr>
        <w:pStyle w:val="Heading2"/>
      </w:pPr>
      <w:r>
        <w:t>电力与冷却</w:t>
      </w:r>
    </w:p>
    <w:p>
      <w:r>
        <w:t>分析推断：负载增长可能增加供电、变压器、冷却需求，但合同容量不等于已通电容量，通电不等于高利用率。并网、许可、建设和成本分担决定收入实现。</w:t>
      </w:r>
    </w:p>
    <w:p>
      <w:pPr>
        <w:pStyle w:val="Heading2"/>
      </w:pPr>
      <w:r>
        <w:t>数据中心与资本</w:t>
      </w:r>
    </w:p>
    <w:p>
      <w:r>
        <w:t>分析推断：土地、建筑、服务器、租赁和融资形成不同现金周期。云采购可能计入费用而不是Meta资本开支。供应商收入还受合同、验收与自身会计政策影响，不能直接用349.06亿美元资本开支作为产业链收入。[1–2]</w:t>
      </w:r>
    </w:p>
    <w:p>
      <w:r>
        <w:t>产业化链条：算力 → 网络与光互连 → 内存 → 可用算力容量 → 电力与冷却 → 资本与融资 → 应用收入和股东现金回报。以上传导为分析框架，不代表逐层收益已被确认。</w:t>
      </w:r>
    </w:p>
    <w:p>
      <w:pPr>
        <w:pStyle w:val="Heading1"/>
      </w:pPr>
      <w:r>
        <w:t>下一验证点</w:t>
      </w:r>
    </w:p>
    <w:p>
      <w:pPr>
        <w:pStyle w:val="Heading2"/>
      </w:pPr>
      <w:r>
        <w:t>Q4财报 广告</w:t>
      </w:r>
    </w:p>
    <w:p>
      <w:r>
        <w:t>量价增长、转化改善与收入保持一致，并有可比利润率。</w:t>
      </w:r>
    </w:p>
    <w:p>
      <w:r>
        <w:t>失效条件：流量及价格转弱，效率提升无法覆盖成本。</w:t>
      </w:r>
    </w:p>
    <w:p>
      <w:pPr>
        <w:pStyle w:val="Heading2"/>
      </w:pPr>
      <w:r>
        <w:t>Q4财报 资本效率</w:t>
      </w:r>
    </w:p>
    <w:p>
      <w:r>
        <w:t>披露2027预算、折旧、投用时间及经营现金流覆盖。</w:t>
      </w:r>
    </w:p>
    <w:p>
      <w:r>
        <w:t>失效条件：投入增速继续超过造血，预算定义或租赁负担不透明。</w:t>
      </w:r>
    </w:p>
    <w:p>
      <w:pPr>
        <w:pStyle w:val="Heading2"/>
      </w:pPr>
      <w:r>
        <w:t>产品及融资披露</w:t>
      </w:r>
    </w:p>
    <w:p>
      <w:r>
        <w:t>Muse付费留存、收入及成本改善；Class C若发行则披露规模、价格与用途。</w:t>
      </w:r>
    </w:p>
    <w:p>
      <w:r>
        <w:t>失效条件：只增长使用量与授权规模，没有商业利润或交割证据。</w:t>
      </w:r>
    </w:p>
    <w:p>
      <w:pPr>
        <w:pStyle w:val="Heading1"/>
      </w:pPr>
      <w:r>
        <w:t>FAQ</w:t>
      </w:r>
    </w:p>
    <w:p>
      <w:pPr>
        <w:pStyle w:val="Heading2"/>
      </w:pPr>
      <w:r>
        <w:t xml:space="preserve">AI资本开支是否已经吞噬现金流 </w:t>
      </w:r>
    </w:p>
    <w:p>
      <w:r>
        <w:t>合并资本开支确已超过本季经营现金流，自由现金流负21.20亿美元；但资本开支并未完整分拆为AI专属投入，不能把全部缺口归因于AI。[1–2]</w:t>
      </w:r>
    </w:p>
    <w:p>
      <w:pPr>
        <w:pStyle w:val="Heading2"/>
      </w:pPr>
      <w:r>
        <w:t xml:space="preserve">为何不能直接看EPS增长265% </w:t>
      </w:r>
    </w:p>
    <w:p>
      <w:r>
        <w:t>去年存在一次性税项，本年存在诉讼费用。分别剔除后EPS为7.25与7.40美元，增幅约2.1%，仍不是统一税率后的完全经常性盈利。[1,5；计算]</w:t>
      </w:r>
    </w:p>
    <w:p>
      <w:pPr>
        <w:pStyle w:val="Heading2"/>
      </w:pPr>
      <w:r>
        <w:t xml:space="preserve">2027年资本开支有确定数字吗 </w:t>
      </w:r>
    </w:p>
    <w:p>
      <w:r>
        <w:t>没有本研究可核验的正式数值区间。管理层仍在制定预算，表示Q4电话会再给具体量化信息。[3，第15页]</w:t>
      </w:r>
    </w:p>
    <w:p>
      <w:pPr>
        <w:pStyle w:val="Heading2"/>
      </w:pPr>
      <w:r>
        <w:t xml:space="preserve">Class C是否意味着已经融资数千亿美元 </w:t>
      </w:r>
    </w:p>
    <w:p>
      <w:r>
        <w:t>不是。按比例派股与未来融资不同；后续电话会明确相关理论容量不代表当前融资计划。[4，第2至3页；6]</w:t>
      </w:r>
    </w:p>
    <w:p>
      <w:pPr>
        <w:pStyle w:val="Heading2"/>
      </w:pPr>
      <w:r>
        <w:t xml:space="preserve">Meta资本开支增长能否直接上调ANET收入 </w:t>
      </w:r>
    </w:p>
    <w:p>
      <w:r>
        <w:t>不能。必须核验网络采购份额、架构、交付与验收，再按供应商自身披露建模。Meta总资本开支覆盖多个资产与租赁项目。</w:t>
      </w:r>
    </w:p>
    <w:p>
      <w:pPr>
        <w:pStyle w:val="Heading1"/>
      </w:pPr>
      <w:r>
        <w:t>核心术语</w:t>
      </w:r>
    </w:p>
    <w:p>
      <w:r>
        <w:t>自由现金流（FCF）  公司定义为经营现金流减设备现金采购及融资租赁本金，是非GAAP指标。</w:t>
      </w:r>
    </w:p>
    <w:p>
      <w:r>
        <w:t>资本开支（CapEx）  本研究使用公司口径，包含设备采购及融资租赁本金；不等同于全部AI费用。</w:t>
      </w:r>
    </w:p>
    <w:p>
      <w:r>
        <w:t>投入资本回报率（ROIC）  税后经营利润相对投入资本的回报，AI专属数据未完整披露。</w:t>
      </w:r>
    </w:p>
    <w:p>
      <w:r>
        <w:t>股权激励（SBC）  授予员工的股票报酬；经营现金流加回不消除其经济成本。</w:t>
      </w:r>
    </w:p>
    <w:p>
      <w:r>
        <w:t>Class C  计划设立的无投票权股份，须区分按比例股息和未来对外融资。</w:t>
      </w:r>
    </w:p>
    <w:p>
      <w:pPr>
        <w:pStyle w:val="Heading1"/>
      </w:pPr>
      <w:r>
        <w:t>语音摘要文字稿</w:t>
      </w:r>
    </w:p>
    <w:p>
      <w:r>
        <w:t>Meta第三季度广告增长约百分之二十六，但现金流出现了更严格的考验。经营现金流约三百二十八亿美元，含融资租赁本金的资本开支约三百四十九亿美元，自由现金流负二十一亿美元。这是合并口径，不能全部归因为AI。本季诉讼费用与去年税项使每股收益同比失真；分别剔除后，每股收益仅从七点二五升至七点四美元。广告AI已经显示效率改善，新代理业务的商业规模和资本回报仍待验证。管理层尚未给出二零二七年资本开支数值区间。Class C增加融资工具，不代表资金已经到账。对ANET、算力、网络和电力供应商，仍需逐家公司核验订单与收入，不能把Meta资本开支直接当作供应商收入。下一次财报重点看预算、折旧、经营现金流覆盖和新AI业务的单位经济性。</w:t>
      </w:r>
    </w:p>
    <w:p>
      <w:pPr>
        <w:pStyle w:val="Heading1"/>
      </w:pPr>
      <w:r>
        <w:t>来源与研究关联</w:t>
      </w:r>
    </w:p>
    <w:p>
      <w:r>
        <w:t>[1] Meta IR｜2026年第三季度业绩与财务表</w:t>
        <w:br/>
        <w:t>https://investor.atmeta.com/investor-news/press-release-details/2026/Meta-Reports-Third-Quarter-2026-Results/default.aspx</w:t>
      </w:r>
    </w:p>
    <w:p>
      <w:r>
        <w:t>[2] SEC｜2026年第三季度业绩附件99.1</w:t>
        <w:br/>
        <w:t>https://www.sec.gov/Archives/edgar/data/1326801/000162828026066700/meta-09302026xexhibit991.htm</w:t>
      </w:r>
    </w:p>
    <w:p>
      <w:r>
        <w:t>[3] Meta IR｜2026年第三季度主电话会文字稿</w:t>
        <w:br/>
        <w:t>https://s21.q4cdn.com/399680738/files/content_files/META-Q3-2026-Earnings-Call-Transcript.pdf</w:t>
      </w:r>
    </w:p>
    <w:p>
      <w:r>
        <w:t>[4] Meta IR｜2026年第三季度后续电话会文字稿</w:t>
        <w:br/>
        <w:t>https://s21.q4cdn.com/399680738/files/content_files/META-Q3-2026-Follow-Up-Call-Transcript.pdf</w:t>
      </w:r>
    </w:p>
    <w:p>
      <w:r>
        <w:t>[5] Meta IR｜2025年第三季度税项调整说明</w:t>
        <w:br/>
        <w:t>https://investor.atmeta.com/investor-news/press-release-details/2025/Meta-Reports-Third-Quarter-2025-Results/default.aspx</w:t>
      </w:r>
    </w:p>
    <w:p>
      <w:r>
        <w:t>[6] SEC｜Class C及创始人安排8-K</w:t>
        <w:br/>
        <w:t>https://www.sec.gov/Archives/edgar/data/1326801/000162828026066700/meta-20261019.htm</w:t>
      </w:r>
    </w:p>
    <w:p>
      <w:r>
        <w:t>[7] Fortune｜Visible Alpha收入预期对照</w:t>
        <w:br/>
        <w:t>https://fortune.com/2026/10/21/meta-q3-earnings-mark-zuckerberg-capex-muse/</w:t>
      </w:r>
    </w:p>
    <w:p>
      <w:r>
        <w:t>[8] Barron’s｜EPS市场预期口径对照</w:t>
        <w:br/>
        <w:t>https://www.barrons.com/articles/meta-earnings-stock-muse-ai-bc8ca018</w:t>
      </w:r>
    </w:p>
    <w:p>
      <w:r>
        <w:t>[9] Arista｜2026年10月7日机架级AI网络架构</w:t>
        <w:br/>
        <w:t>https://www.arista.com/en/company/news/press-release/24818-pr-20261007</w:t>
      </w:r>
    </w:p>
    <w:p>
      <w:r>
        <w:t>[10] Arista IR｜2026年6月9日1.6T平台与Meta合作口径</w:t>
        <w:br/>
        <w:t>https://investors.arista.com/Communications/Press-Releases-and-Events/Press-Release-Detail/2026/Arista-Introduces-Next-Generation-1-6Terabit-Portfolio-for-AI-Fabrics/default.aspx</w:t>
      </w:r>
    </w:p>
    <w:p>
      <w:r>
        <w:t>Meta Class C资本结构专项研究</w:t>
        <w:br/>
        <w:t>https://acisresearch.com/research/critical-event/meta-class-c-capital-commitments-governance-2026-10-23</w:t>
      </w:r>
    </w:p>
    <w:p>
      <w:r>
        <w:t>AI基础设施周报：建设与现金流验证</w:t>
        <w:br/>
        <w:t>https://acisresearch.com/research/ai-infrastructure-weekly-2026-10-21</w:t>
      </w:r>
    </w:p>
    <w:p>
      <w:r>
        <w:t>AI融资：合同质量与资本成本</w:t>
        <w:br/>
        <w:t>https://acisresearch.com/research/memos/ai-financing-contract-quality-2026-09-14</w:t>
      </w:r>
    </w:p>
    <w:p>
      <w:r>
        <w:t>返回投资情报</w:t>
        <w:br/>
        <w:t>https://acisresearch.com/investment-intelligence</w:t>
      </w:r>
    </w:p>
    <w:p>
      <w:r>
        <w:t>研究日期2026年10月23日；季度截至9月30日。数字来自[1–2]，税项对照[5]，指引与电话会按[3–4]标注，资本安排依据[6]。Q3 10-Q与信息说明书完整明细本次未完成独立核验；市场预期仅作有来源的媒体转述且截点未提供。所有估值敏感性为假设，不是目标价。既有文章及评级未被覆盖。</w:t>
      </w:r>
    </w:p>
    <w:p>
      <w:r>
        <w:br w:type="page"/>
      </w:r>
    </w:p>
    <w:p>
      <w:pPr>
        <w:pStyle w:val="Title"/>
      </w:pPr>
      <w:r>
        <w:t>Meta Q3 2026 Earnings Deep Dive</w:t>
      </w:r>
    </w:p>
    <w:p>
      <w:r>
        <w:t>ACIS Research | Investment Intelligence / AI Infrastructure | 2026-10-23</w:t>
      </w:r>
    </w:p>
    <w:p>
      <w:r>
        <w:t>Meta Earnings: Advertising Grows 26%, but Is AI Capex Consuming Cash Flow?</w:t>
      </w:r>
    </w:p>
    <w:p>
      <w:pPr>
        <w:pStyle w:val="Heading1"/>
      </w:pPr>
      <w:r>
        <w:t>The ten second view</w:t>
      </w:r>
    </w:p>
    <w:p>
      <w:r>
        <w:t>Capital investment exceeded quarterly operating cash flow. That is a consolidated result, not an AI-only attribution. Advertising strength and shareholder cash returns require separate tests.</w:t>
      </w:r>
    </w:p>
    <w:p>
      <w:pPr>
        <w:pStyle w:val="Heading1"/>
      </w:pPr>
      <w:r>
        <w:t>The one minute brief</w:t>
      </w:r>
    </w:p>
    <w:p>
      <w:r>
        <w:t>Meta Platforms (META), an advertising-led internet platform expanding into AI, reported $63.061bn of advertising revenue, up about 26%. Operating cash flow of $32.786bn fell short of $34.906bn of capex including finance lease principal, leaving negative $2.120bn of free cash flow.[1–2] The cash absorption is real; it does not establish that advertising has broken. Litigation this year and a tax charge last year distort EPS growth. Excluding those respective items, EPS rose from $7.25 to $7.40.[1,5] Our assessment is mixed: stronger evidence of advertising competitiveness, weaker visibility into shareholder cash returns. The next earnings report must connect the 2027 budget, depreciation and new AI revenue. Supplier benefits require their own order and revenue evidence.</w:t>
      </w:r>
    </w:p>
    <w:p>
      <w:r>
        <w:t>Coverage: Meta Platforms (META), Arista Networks (ANET) and the AI supply chain. All monetary amounts are U.S. dollars. Research as of 23 October 2026; not personalized investment advice.</w:t>
      </w:r>
    </w:p>
    <w:p>
      <w:pPr>
        <w:pStyle w:val="Heading1"/>
      </w:pPr>
      <w:r>
        <w:t>Evidence categories</w:t>
      </w:r>
    </w:p>
    <w:p>
      <w:r>
        <w:t>Disclosed facts  Financial tables and the SEC earnings exhibit support reported revenue, cash flows and segment results.[1–2]</w:t>
      </w:r>
    </w:p>
    <w:p>
      <w:r>
        <w:t>Management guidance  2026 capex of $135–145bn; aggressive investment continues in 2027, without a numerical range.[1,3]</w:t>
      </w:r>
    </w:p>
    <w:p>
      <w:r>
        <w:t>Analytical inference  Cash absorption, adjusted-margin compression and conditional supply-chain transmission are ACIS calculations and judgments.</w:t>
      </w:r>
    </w:p>
    <w:p>
      <w:r>
        <w:t>Scenario assumptions  Valuation and cash-flow sensitivities are neither company guidance, consensus forecasts nor price targets.</w:t>
      </w:r>
    </w:p>
    <w:p>
      <w:r>
        <w:t>Evidence limits  The SEC earnings exhibit and 8-K were verified. The Q3 10-Q was not independently verified; asset lives, commitment schedules and AI-specific returns remain unresolved. Media-reported consensus lacks an original estimate timestamp.</w:t>
      </w:r>
    </w:p>
    <w:p>
      <w:pPr>
        <w:pStyle w:val="Heading1"/>
      </w:pPr>
      <w:r>
        <w:t xml:space="preserve">The cash bridge  can advertising fund the infrastructure </w:t>
      </w:r>
    </w:p>
    <w:p>
      <w:r>
        <w:t>Operating cash generation  $32.786bn, up 9.3% year over year.[1–2; calculation]</w:t>
      </w:r>
    </w:p>
    <w:p>
      <w:r>
        <w:t>Cash equipment purchases  $33.942bn versus $18.829bn a year earlier.[1–2]</w:t>
      </w:r>
    </w:p>
    <w:p>
      <w:r>
        <w:t>Finance lease principal  A further $0.964bn; do not omit it or double-count it as operating expense.[1–2]</w:t>
      </w:r>
    </w:p>
    <w:p>
      <w:r>
        <w:t>Residual cash  FCF of −$2.120bn before $1.361bn of quarterly dividends.[1–2]</w:t>
      </w:r>
    </w:p>
    <w:p>
      <w:r>
        <w:t>Q3 2026. Company-defined non-GAAP FCF deducts cash PP&amp;E purchases and finance lease principal from operating cash flow. This is neither AI-only cash flow nor supplier revenue.</w:t>
      </w:r>
    </w:p>
    <w:p>
      <w:pPr>
        <w:pStyle w:val="Heading1"/>
      </w:pPr>
      <w:r>
        <w:t>Advertising strength and the limits of AI attribution</w:t>
      </w:r>
    </w:p>
    <w:p>
      <w:r>
        <w:t>Advertising rose from $50.082bn to $63.061bn and represented 97.6% of revenue. Impressions increased 10% and average price 14%. Their product implies about 25.4% growth; rounding and mix explain why this is not an exact bridge. Adding the two rates is incorrect.[1–2; calculations] Management attributes gains to AI-driven engagement, recommendations and monetization. It reported nearly 2% higher conversions from generative retrieval, plus 1.7% higher offsite conversions and 9.6% higher app-ad conversions from GEM expansion.[3, p6] These are specific product or experiment metrics, not additive contributions to consolidated revenue. A dollar bridge for incremental AI advertising revenue was not disclosed.</w:t>
      </w:r>
    </w:p>
    <w:p>
      <w:r>
        <w:t>There is operating evidence that AI improves the existing ad engine. New agents, model services and enterprise offerings remain a different earnings proposition. The follow-up call clarified that Muse currently monetizes through subscriptions; transaction monetization requires greater user and partner scale.[4, pp2,5] Core-ad efficiency and new-AI revenue must be modeled separately to avoid double counting. A credible future bridge needs adoption, paid conversion, retention, realized revenue and serving costs on consistent cohorts. User growth alone cannot establish profitable scale. Management targets more than tenfold compute-cost efficiency improvement over the next year; the follow-up stresses that further technological advances are needed. This is a target, not realized savings, and lower unit cost does not ensure lower total spending.[3, p8; 4, p6]</w:t>
      </w:r>
    </w:p>
    <w:p>
      <w:pPr>
        <w:pStyle w:val="Heading1"/>
      </w:pPr>
      <w:r>
        <w:t>Three gates for cash flow depreciation and returns</w:t>
      </w:r>
    </w:p>
    <w:p>
      <w:r>
        <w:t>Quarterly FCF was negative, but nine-month FCF remained positive at $11.049bn. One quarter does not establish a negative full year.[1–2] Capex consumes cash before commissioned assets create depreciation expense. Net PP&amp;E rose from $176.400bn at the end of 2025 to $253.222bn, expanding the asset base whose utilization and future costs must be tested.[1–2] Procurement, construction, commissioning and utilization occur at different times. Consolidated D&amp;A is not AI-only depreciation and cannot establish server lives.</w:t>
      </w:r>
    </w:p>
    <w:p>
      <w:r>
        <w:t>Return on invested capital, or ROIC, compares after-tax operating profit with invested capital. AI-specific profit, capital and utilization are not fully disclosed; an exact incremental AI ROIC would be false precision. First test incremental ad profit, agent gross profit and serving-cost efficiency, then compare them with cumulative investment and the cost of capital. Litigation is isolated for earnings analysis, but the agreement provides for payments up to $18.59bn and remains economically consequential.[1] It cannot be permanently excluded from cash projections. Working-capital movements and non-cash add-backs also affect operating cash flow, so it is not the same as unrestricted shareholder cash.</w:t>
      </w:r>
    </w:p>
    <w:p>
      <w:pPr>
        <w:pStyle w:val="Heading1"/>
      </w:pPr>
      <w:r>
        <w:t>Reality Labs and the 2027 funding structure</w:t>
      </w:r>
    </w:p>
    <w:p>
      <w:r>
        <w:t>Reality Labs generated $0.443bn of revenue and a $4.129bn operating loss, compared with $0.470bn and $4.432bn a year earlier.[1–2] A smaller loss is not profitability. Management guides to $18–19bn of 2026 losses and around $15bn in 2027 while reallocating investment primarily toward AI.[1,3] Those are expectations, not realized savings; accounting loss reductions do not translate dollar for dollar into cash available for AI.</w:t>
      </w:r>
    </w:p>
    <w:p>
      <w:r>
        <w:t>Cash and marketable securities were $82.449bn, long-term debt $80.922bn, and operating lease liabilities another $31.173bn. Nine-month net debt proceeds were $24.910bn, with none in Q3; repurchases were zero both quarterly and year to date.[1–2] Funding is already broader than retained cash. Gross liquidity alone does not establish unlimited capacity, and operating leases should not be mislabeled as finance leases. Management says third-party cloud supplements slower owned infrastructure but has not specified the mix.[4, p3] The Q4 call is the stated window for quantitative 2027 budget detail; aggressive-investment language is not a numerical capex forecast.[3, p15]</w:t>
      </w:r>
    </w:p>
    <w:p>
      <w:pPr>
        <w:pStyle w:val="Heading1"/>
      </w:pPr>
      <w:r>
        <w:t>Class C is a funding instrument rather than cash already raised</w:t>
      </w:r>
    </w:p>
    <w:p>
      <w:r>
        <w:t>The SEC 8-K confirms non-voting Class C, expected charter effectiveness on 19 January 2027, and a planned one-for-one dividend to A/B holders. Record and payment dates require subsequent board action.[6] A pro-rata distribution neither doubles wealth nor itself raises capital or dilutes proportional economic ownership. Later issuance to outsiders can dilute economic ownership while preserving founder voting control. After the distribution, valuation must adjust the share denominator and consider combined A/C value and differing rights.</w:t>
      </w:r>
    </w:p>
    <w:p>
      <w:r>
        <w:t>On the main call, management had no specific financing plan to announce. In the follow-up, Susan Li characterized the referenced hundreds-of-billions figure as a theoretical founder-control financing threshold, not present equity financing needs or plans.[3, p14; 4, pp2–3] Long-range planning, theoretical capacity, authorization and a completed transaction are distinct evidence categories. This earnings report complements the existing capital-structure article. The next task is to reconcile information-statement tables, commitment payment schedules and actual issuance documents, not equate future leases with current debt.</w:t>
      </w:r>
    </w:p>
    <w:p>
      <w:pPr>
        <w:pStyle w:val="Heading1"/>
      </w:pPr>
      <w:r>
        <w:t>The call debate and four scenarios</w:t>
      </w:r>
    </w:p>
    <w:p>
      <w:r>
        <w:t>Eric Sheridan of Goldman Sachs questioned Susan Li on capital structure; Doug Anmuth of JPMorgan pressed on 2027 expenses and capex; Justin Post of BofA asked about advertising runway; Ross Sandler of Barclays challenged compute economics. Management described financing flexibility, ad improvements and efficiency opportunities without a numerical 2027 budget.[3, pp12–19] In the follow-up, Ron Josey of Citi questioned financing and transaction monetization, while Ken Gawrelski of Wells Fargo asked about lease-versus-own capacity. Susan Li’s answers limit extrapolations about committed financing and scaled new-AI revenue.[4, pp2–3]</w:t>
      </w:r>
    </w:p>
    <w:p>
      <w:r>
        <w:t>Bull: ad improvements persist, agents reach commercial scale, unit serving costs fall faster than usage grows, and capex growth moderates. The next print must show better operating-cash-flow coverage. Base: healthy ads fund early AI businesses while depreciation and investment absorb most incremental cash; a capital-intensive valuation framework replaces historical asset-light assumptions. Bear: ads slow, depreciation rises and monetization slips, making funding and dilution more important; simultaneous growth and cash-conversion deterioration weakens the operating thesis. Tail risk: regulation or litigation, power and construction delays, rapid obsolescence and tighter funding coincide, damaging utilization, cash flow and valuation. No invented probabilities or company-endorsed forecasts are assigned.</w:t>
      </w:r>
    </w:p>
    <w:p>
      <w:pPr>
        <w:pStyle w:val="Heading1"/>
      </w:pPr>
      <w:r>
        <w:t>Valuation implications and the next earnings test</w:t>
      </w:r>
    </w:p>
    <w:p>
      <w:r>
        <w:t>The sensitivity grid isolates earnings and multiple risk. EPS can grow while capital intensity, governance or funding risk compresses the multiple. The discipline is to wait for comparable earnings and cash validation rather than turn 26% ad growth into an automatic purchase or position increase. Current price and a same-source forward estimate series were not verified, so there is no precise expected return, target price or historical price chart.</w:t>
      </w:r>
    </w:p>
    <w:p>
      <w:r>
        <w:t>The Q4 report is management’s stated window for the 2027 budget; its exact scheduled date was not verified.[3, p15] Check ad volume, pricing and conversion; capex and lease definitions; operating cash-flow coverage; depreciation and asset lives; Reality Labs losses; Muse paid retention and unit economics; and any Class C issuance or new commitments. If efficiency gains fail to offset serving costs and depreciation, valuation support weakens. If incremental AI gross profit and cash recovery consistently exceed incremental investment, the return assessment improves. Supplier claims need their own company reporting and delivery cadence rather than another repetition of Meta’s spending headline.</w:t>
      </w:r>
    </w:p>
    <w:p>
      <w:pPr>
        <w:pStyle w:val="Heading1"/>
      </w:pPr>
      <w:r>
        <w:t>Financial and valuation exhibits</w:t>
      </w:r>
    </w:p>
    <w:p>
      <w:pPr>
        <w:pStyle w:val="Heading2"/>
      </w:pPr>
      <w:r>
        <w:t>Financial results and expectations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656"/>
        <w:gridCol w:w="1800"/>
        <w:gridCol w:w="1944"/>
        <w:gridCol w:w="4680"/>
      </w:tblGrid>
      <w:tr>
        <w:trPr>
          <w:tblHeader/>
          <w:cantSplit/>
        </w:trPr>
        <w:tc>
          <w:tcPr>
            <w:tcW w:type="dxa" w:w="1656"/>
            <w:vAlign w:val="center"/>
            <w:shd w:fill="17324D"/>
            <w:tcMar>
              <w:top w:w="85" w:type="dxa"/>
              <w:left w:w="85" w:type="dxa"/>
              <w:bottom w:w="85" w:type="dxa"/>
              <w:right w:w="85" w:type="dxa"/>
            </w:tcMar>
          </w:tcPr>
          <w:p>
            <w:pPr>
              <w:spacing w:after="60" w:line="252" w:lineRule="auto"/>
            </w:pPr>
            <w:r>
              <w:rPr>
                <w:b/>
                <w:color w:val="FFFFFF"/>
                <w:sz w:val="18"/>
              </w:rPr>
              <w:t>Metric and basis</w:t>
            </w:r>
          </w:p>
        </w:tc>
        <w:tc>
          <w:tcPr>
            <w:tcW w:type="dxa" w:w="1800"/>
            <w:vAlign w:val="center"/>
            <w:shd w:fill="17324D"/>
            <w:tcMar>
              <w:top w:w="85" w:type="dxa"/>
              <w:left w:w="85" w:type="dxa"/>
              <w:bottom w:w="85" w:type="dxa"/>
              <w:right w:w="85" w:type="dxa"/>
            </w:tcMar>
          </w:tcPr>
          <w:p>
            <w:pPr>
              <w:spacing w:after="60" w:line="252" w:lineRule="auto"/>
            </w:pPr>
            <w:r>
              <w:rPr>
                <w:b/>
                <w:color w:val="FFFFFF"/>
                <w:sz w:val="18"/>
              </w:rPr>
              <w:t>Q3 2026</w:t>
            </w:r>
          </w:p>
        </w:tc>
        <w:tc>
          <w:tcPr>
            <w:tcW w:type="dxa" w:w="1944"/>
            <w:vAlign w:val="center"/>
            <w:shd w:fill="17324D"/>
            <w:tcMar>
              <w:top w:w="85" w:type="dxa"/>
              <w:left w:w="85" w:type="dxa"/>
              <w:bottom w:w="85" w:type="dxa"/>
              <w:right w:w="85" w:type="dxa"/>
            </w:tcMar>
          </w:tcPr>
          <w:p>
            <w:pPr>
              <w:spacing w:after="60" w:line="252" w:lineRule="auto"/>
            </w:pPr>
            <w:r>
              <w:rPr>
                <w:b/>
                <w:color w:val="FFFFFF"/>
                <w:sz w:val="18"/>
              </w:rPr>
              <w:t>Q3 2025 or benchmark</w:t>
            </w:r>
          </w:p>
        </w:tc>
        <w:tc>
          <w:tcPr>
            <w:tcW w:type="dxa" w:w="4680"/>
            <w:vAlign w:val="center"/>
            <w:shd w:fill="17324D"/>
            <w:tcMar>
              <w:top w:w="85" w:type="dxa"/>
              <w:left w:w="85" w:type="dxa"/>
              <w:bottom w:w="85" w:type="dxa"/>
              <w:right w:w="85" w:type="dxa"/>
            </w:tcMar>
          </w:tcPr>
          <w:p>
            <w:pPr>
              <w:spacing w:after="60" w:line="252" w:lineRule="auto"/>
            </w:pPr>
            <w:r>
              <w:rPr>
                <w:b/>
                <w:color w:val="FFFFFF"/>
                <w:sz w:val="18"/>
              </w:rPr>
              <w:t>Interpretation</w:t>
            </w:r>
          </w:p>
        </w:tc>
      </w:tr>
      <w:tr>
        <w:trPr>
          <w:cantSplit/>
        </w:trPr>
        <w:tc>
          <w:tcPr>
            <w:tcW w:type="dxa" w:w="1656"/>
            <w:vAlign w:val="center"/>
            <w:shd w:fill="FFFFFF"/>
            <w:tcMar>
              <w:top w:w="85" w:type="dxa"/>
              <w:left w:w="85" w:type="dxa"/>
              <w:bottom w:w="85" w:type="dxa"/>
              <w:right w:w="85" w:type="dxa"/>
            </w:tcMar>
          </w:tcPr>
          <w:p>
            <w:pPr>
              <w:spacing w:after="60" w:line="252" w:lineRule="auto"/>
            </w:pPr>
            <w:r>
              <w:rPr>
                <w:b w:val="0"/>
                <w:color w:val="000000"/>
                <w:sz w:val="18"/>
              </w:rPr>
              <w:t>Total revenue</w:t>
            </w:r>
          </w:p>
        </w:tc>
        <w:tc>
          <w:tcPr>
            <w:tcW w:type="dxa" w:w="1800"/>
            <w:vAlign w:val="center"/>
            <w:shd w:fill="FFFFFF"/>
            <w:tcMar>
              <w:top w:w="85" w:type="dxa"/>
              <w:left w:w="85" w:type="dxa"/>
              <w:bottom w:w="85" w:type="dxa"/>
              <w:right w:w="85" w:type="dxa"/>
            </w:tcMar>
          </w:tcPr>
          <w:p>
            <w:pPr>
              <w:spacing w:after="60" w:line="252" w:lineRule="auto"/>
            </w:pPr>
            <w:r>
              <w:rPr>
                <w:b w:val="0"/>
                <w:color w:val="000000"/>
                <w:sz w:val="18"/>
              </w:rPr>
              <w:t>$64.601bn</w:t>
            </w:r>
          </w:p>
        </w:tc>
        <w:tc>
          <w:tcPr>
            <w:tcW w:type="dxa" w:w="1944"/>
            <w:vAlign w:val="center"/>
            <w:shd w:fill="FFFFFF"/>
            <w:tcMar>
              <w:top w:w="85" w:type="dxa"/>
              <w:left w:w="85" w:type="dxa"/>
              <w:bottom w:w="85" w:type="dxa"/>
              <w:right w:w="85" w:type="dxa"/>
            </w:tcMar>
          </w:tcPr>
          <w:p>
            <w:pPr>
              <w:spacing w:after="60" w:line="252" w:lineRule="auto"/>
            </w:pPr>
            <w:r>
              <w:rPr>
                <w:b w:val="0"/>
                <w:color w:val="000000"/>
                <w:sz w:val="18"/>
              </w:rPr>
              <w:t>$51.242bn; +26%</w:t>
            </w:r>
          </w:p>
        </w:tc>
        <w:tc>
          <w:tcPr>
            <w:tcW w:type="dxa" w:w="4680"/>
            <w:vAlign w:val="center"/>
            <w:shd w:fill="FFFFFF"/>
            <w:tcMar>
              <w:top w:w="85" w:type="dxa"/>
              <w:left w:w="85" w:type="dxa"/>
              <w:bottom w:w="85" w:type="dxa"/>
              <w:right w:w="85" w:type="dxa"/>
            </w:tcMar>
          </w:tcPr>
          <w:p>
            <w:pPr>
              <w:spacing w:after="60" w:line="252" w:lineRule="auto"/>
            </w:pPr>
            <w:r>
              <w:rPr>
                <w:b w:val="0"/>
                <w:color w:val="000000"/>
                <w:sz w:val="18"/>
              </w:rPr>
              <w:t>About 2.1% above media-reported Visible Alpha consensus of $63.3bn.[1–2,7; calculation]</w:t>
            </w:r>
          </w:p>
        </w:tc>
      </w:tr>
      <w:tr>
        <w:trPr>
          <w:cantSplit/>
        </w:trPr>
        <w:tc>
          <w:tcPr>
            <w:tcW w:type="dxa" w:w="1656"/>
            <w:vAlign w:val="center"/>
            <w:shd w:fill="F1F5F8"/>
            <w:tcMar>
              <w:top w:w="85" w:type="dxa"/>
              <w:left w:w="85" w:type="dxa"/>
              <w:bottom w:w="85" w:type="dxa"/>
              <w:right w:w="85" w:type="dxa"/>
            </w:tcMar>
          </w:tcPr>
          <w:p>
            <w:pPr>
              <w:spacing w:after="60" w:line="252" w:lineRule="auto"/>
            </w:pPr>
            <w:r>
              <w:rPr>
                <w:b w:val="0"/>
                <w:color w:val="000000"/>
                <w:sz w:val="18"/>
              </w:rPr>
              <w:t>GAAP operating income / margin</w:t>
            </w:r>
          </w:p>
        </w:tc>
        <w:tc>
          <w:tcPr>
            <w:tcW w:type="dxa" w:w="1800"/>
            <w:vAlign w:val="center"/>
            <w:shd w:fill="F1F5F8"/>
            <w:tcMar>
              <w:top w:w="85" w:type="dxa"/>
              <w:left w:w="85" w:type="dxa"/>
              <w:bottom w:w="85" w:type="dxa"/>
              <w:right w:w="85" w:type="dxa"/>
            </w:tcMar>
          </w:tcPr>
          <w:p>
            <w:pPr>
              <w:spacing w:after="60" w:line="252" w:lineRule="auto"/>
            </w:pPr>
            <w:r>
              <w:rPr>
                <w:b w:val="0"/>
                <w:color w:val="000000"/>
                <w:sz w:val="18"/>
              </w:rPr>
              <w:t>$12.988bn / 20.1%</w:t>
            </w:r>
          </w:p>
        </w:tc>
        <w:tc>
          <w:tcPr>
            <w:tcW w:type="dxa" w:w="1944"/>
            <w:vAlign w:val="center"/>
            <w:shd w:fill="F1F5F8"/>
            <w:tcMar>
              <w:top w:w="85" w:type="dxa"/>
              <w:left w:w="85" w:type="dxa"/>
              <w:bottom w:w="85" w:type="dxa"/>
              <w:right w:w="85" w:type="dxa"/>
            </w:tcMar>
          </w:tcPr>
          <w:p>
            <w:pPr>
              <w:spacing w:after="60" w:line="252" w:lineRule="auto"/>
            </w:pPr>
            <w:r>
              <w:rPr>
                <w:b w:val="0"/>
                <w:color w:val="000000"/>
                <w:sz w:val="18"/>
              </w:rPr>
              <w:t>$20.535bn / 40.1%</w:t>
            </w:r>
          </w:p>
        </w:tc>
        <w:tc>
          <w:tcPr>
            <w:tcW w:type="dxa" w:w="4680"/>
            <w:vAlign w:val="center"/>
            <w:shd w:fill="F1F5F8"/>
            <w:tcMar>
              <w:top w:w="85" w:type="dxa"/>
              <w:left w:w="85" w:type="dxa"/>
              <w:bottom w:w="85" w:type="dxa"/>
              <w:right w:w="85" w:type="dxa"/>
            </w:tcMar>
          </w:tcPr>
          <w:p>
            <w:pPr>
              <w:spacing w:after="60" w:line="252" w:lineRule="auto"/>
            </w:pPr>
            <w:r>
              <w:rPr>
                <w:b w:val="0"/>
                <w:color w:val="000000"/>
                <w:sz w:val="18"/>
              </w:rPr>
              <w:t>Includes $9.89bn litigation charge; not all AI expense.[1–2; calculation]</w:t>
            </w:r>
          </w:p>
        </w:tc>
      </w:tr>
      <w:tr>
        <w:trPr>
          <w:cantSplit/>
        </w:trPr>
        <w:tc>
          <w:tcPr>
            <w:tcW w:type="dxa" w:w="1656"/>
            <w:vAlign w:val="center"/>
            <w:shd w:fill="FFFFFF"/>
            <w:tcMar>
              <w:top w:w="85" w:type="dxa"/>
              <w:left w:w="85" w:type="dxa"/>
              <w:bottom w:w="85" w:type="dxa"/>
              <w:right w:w="85" w:type="dxa"/>
            </w:tcMar>
          </w:tcPr>
          <w:p>
            <w:pPr>
              <w:spacing w:after="60" w:line="252" w:lineRule="auto"/>
            </w:pPr>
            <w:r>
              <w:rPr>
                <w:b w:val="0"/>
                <w:color w:val="000000"/>
                <w:sz w:val="18"/>
              </w:rPr>
              <w:t>Ex-litigation operating income / margin</w:t>
            </w:r>
          </w:p>
        </w:tc>
        <w:tc>
          <w:tcPr>
            <w:tcW w:type="dxa" w:w="1800"/>
            <w:vAlign w:val="center"/>
            <w:shd w:fill="FFFFFF"/>
            <w:tcMar>
              <w:top w:w="85" w:type="dxa"/>
              <w:left w:w="85" w:type="dxa"/>
              <w:bottom w:w="85" w:type="dxa"/>
              <w:right w:w="85" w:type="dxa"/>
            </w:tcMar>
          </w:tcPr>
          <w:p>
            <w:pPr>
              <w:spacing w:after="60" w:line="252" w:lineRule="auto"/>
            </w:pPr>
            <w:r>
              <w:rPr>
                <w:b w:val="0"/>
                <w:color w:val="000000"/>
                <w:sz w:val="18"/>
              </w:rPr>
              <w:t>$22.878bn / 35.4%</w:t>
            </w:r>
          </w:p>
        </w:tc>
        <w:tc>
          <w:tcPr>
            <w:tcW w:type="dxa" w:w="1944"/>
            <w:vAlign w:val="center"/>
            <w:shd w:fill="FFFFFF"/>
            <w:tcMar>
              <w:top w:w="85" w:type="dxa"/>
              <w:left w:w="85" w:type="dxa"/>
              <w:bottom w:w="85" w:type="dxa"/>
              <w:right w:w="85" w:type="dxa"/>
            </w:tcMar>
          </w:tcPr>
          <w:p>
            <w:pPr>
              <w:spacing w:after="60" w:line="252" w:lineRule="auto"/>
            </w:pPr>
            <w:r>
              <w:rPr>
                <w:b w:val="0"/>
                <w:color w:val="000000"/>
                <w:sz w:val="18"/>
              </w:rPr>
              <w:t>$20.535bn / 40.1%</w:t>
            </w:r>
          </w:p>
        </w:tc>
        <w:tc>
          <w:tcPr>
            <w:tcW w:type="dxa" w:w="4680"/>
            <w:vAlign w:val="center"/>
            <w:shd w:fill="FFFFFF"/>
            <w:tcMar>
              <w:top w:w="85" w:type="dxa"/>
              <w:left w:w="85" w:type="dxa"/>
              <w:bottom w:w="85" w:type="dxa"/>
              <w:right w:w="85" w:type="dxa"/>
            </w:tcMar>
          </w:tcPr>
          <w:p>
            <w:pPr>
              <w:spacing w:after="60" w:line="252" w:lineRule="auto"/>
            </w:pPr>
            <w:r>
              <w:rPr>
                <w:b w:val="0"/>
                <w:color w:val="000000"/>
                <w:sz w:val="18"/>
              </w:rPr>
              <w:t>Income +11.4%, but margin down about 4.7 percentage points.[1–2; calculation]</w:t>
            </w:r>
          </w:p>
        </w:tc>
      </w:tr>
      <w:tr>
        <w:trPr>
          <w:cantSplit/>
        </w:trPr>
        <w:tc>
          <w:tcPr>
            <w:tcW w:type="dxa" w:w="1656"/>
            <w:vAlign w:val="center"/>
            <w:shd w:fill="F1F5F8"/>
            <w:tcMar>
              <w:top w:w="85" w:type="dxa"/>
              <w:left w:w="85" w:type="dxa"/>
              <w:bottom w:w="85" w:type="dxa"/>
              <w:right w:w="85" w:type="dxa"/>
            </w:tcMar>
          </w:tcPr>
          <w:p>
            <w:pPr>
              <w:spacing w:after="60" w:line="252" w:lineRule="auto"/>
            </w:pPr>
            <w:r>
              <w:rPr>
                <w:b w:val="0"/>
                <w:color w:val="000000"/>
                <w:sz w:val="18"/>
              </w:rPr>
              <w:t>GAAP net income / diluted EPS</w:t>
            </w:r>
          </w:p>
        </w:tc>
        <w:tc>
          <w:tcPr>
            <w:tcW w:type="dxa" w:w="1800"/>
            <w:vAlign w:val="center"/>
            <w:shd w:fill="F1F5F8"/>
            <w:tcMar>
              <w:top w:w="85" w:type="dxa"/>
              <w:left w:w="85" w:type="dxa"/>
              <w:bottom w:w="85" w:type="dxa"/>
              <w:right w:w="85" w:type="dxa"/>
            </w:tcMar>
          </w:tcPr>
          <w:p>
            <w:pPr>
              <w:spacing w:after="60" w:line="252" w:lineRule="auto"/>
            </w:pPr>
            <w:r>
              <w:rPr>
                <w:b w:val="0"/>
                <w:color w:val="000000"/>
                <w:sz w:val="18"/>
              </w:rPr>
              <w:t>$9.860bn / $3.83</w:t>
            </w:r>
          </w:p>
        </w:tc>
        <w:tc>
          <w:tcPr>
            <w:tcW w:type="dxa" w:w="1944"/>
            <w:vAlign w:val="center"/>
            <w:shd w:fill="F1F5F8"/>
            <w:tcMar>
              <w:top w:w="85" w:type="dxa"/>
              <w:left w:w="85" w:type="dxa"/>
              <w:bottom w:w="85" w:type="dxa"/>
              <w:right w:w="85" w:type="dxa"/>
            </w:tcMar>
          </w:tcPr>
          <w:p>
            <w:pPr>
              <w:spacing w:after="60" w:line="252" w:lineRule="auto"/>
            </w:pPr>
            <w:r>
              <w:rPr>
                <w:b w:val="0"/>
                <w:color w:val="000000"/>
                <w:sz w:val="18"/>
              </w:rPr>
              <w:t>$2.709bn / $1.05</w:t>
            </w:r>
          </w:p>
        </w:tc>
        <w:tc>
          <w:tcPr>
            <w:tcW w:type="dxa" w:w="4680"/>
            <w:vAlign w:val="center"/>
            <w:shd w:fill="F1F5F8"/>
            <w:tcMar>
              <w:top w:w="85" w:type="dxa"/>
              <w:left w:w="85" w:type="dxa"/>
              <w:bottom w:w="85" w:type="dxa"/>
              <w:right w:w="85" w:type="dxa"/>
            </w:tcMar>
          </w:tcPr>
          <w:p>
            <w:pPr>
              <w:spacing w:after="60" w:line="252" w:lineRule="auto"/>
            </w:pPr>
            <w:r>
              <w:rPr>
                <w:b w:val="0"/>
                <w:color w:val="000000"/>
                <w:sz w:val="18"/>
              </w:rPr>
              <w:t>Distorted comparison; see earnings-quality bridge.[1–2,5]</w:t>
            </w:r>
          </w:p>
        </w:tc>
      </w:tr>
      <w:tr>
        <w:trPr>
          <w:cantSplit/>
        </w:trPr>
        <w:tc>
          <w:tcPr>
            <w:tcW w:type="dxa" w:w="1656"/>
            <w:vAlign w:val="center"/>
            <w:shd w:fill="FFFFFF"/>
            <w:tcMar>
              <w:top w:w="85" w:type="dxa"/>
              <w:left w:w="85" w:type="dxa"/>
              <w:bottom w:w="85" w:type="dxa"/>
              <w:right w:w="85" w:type="dxa"/>
            </w:tcMar>
          </w:tcPr>
          <w:p>
            <w:pPr>
              <w:spacing w:after="60" w:line="252" w:lineRule="auto"/>
            </w:pPr>
            <w:r>
              <w:rPr>
                <w:b w:val="0"/>
                <w:color w:val="000000"/>
                <w:sz w:val="18"/>
              </w:rPr>
              <w:t>Operating cash flow / capex</w:t>
            </w:r>
          </w:p>
        </w:tc>
        <w:tc>
          <w:tcPr>
            <w:tcW w:type="dxa" w:w="1800"/>
            <w:vAlign w:val="center"/>
            <w:shd w:fill="FFFFFF"/>
            <w:tcMar>
              <w:top w:w="85" w:type="dxa"/>
              <w:left w:w="85" w:type="dxa"/>
              <w:bottom w:w="85" w:type="dxa"/>
              <w:right w:w="85" w:type="dxa"/>
            </w:tcMar>
          </w:tcPr>
          <w:p>
            <w:pPr>
              <w:spacing w:after="60" w:line="252" w:lineRule="auto"/>
            </w:pPr>
            <w:r>
              <w:rPr>
                <w:b w:val="0"/>
                <w:color w:val="000000"/>
                <w:sz w:val="18"/>
              </w:rPr>
              <w:t>$32.786bn / $34.906bn</w:t>
            </w:r>
          </w:p>
        </w:tc>
        <w:tc>
          <w:tcPr>
            <w:tcW w:type="dxa" w:w="1944"/>
            <w:vAlign w:val="center"/>
            <w:shd w:fill="FFFFFF"/>
            <w:tcMar>
              <w:top w:w="85" w:type="dxa"/>
              <w:left w:w="85" w:type="dxa"/>
              <w:bottom w:w="85" w:type="dxa"/>
              <w:right w:w="85" w:type="dxa"/>
            </w:tcMar>
          </w:tcPr>
          <w:p>
            <w:pPr>
              <w:spacing w:after="60" w:line="252" w:lineRule="auto"/>
            </w:pPr>
            <w:r>
              <w:rPr>
                <w:b w:val="0"/>
                <w:color w:val="000000"/>
                <w:sz w:val="18"/>
              </w:rPr>
              <w:t>$29.999bn / $19.374bn</w:t>
            </w:r>
          </w:p>
        </w:tc>
        <w:tc>
          <w:tcPr>
            <w:tcW w:type="dxa" w:w="4680"/>
            <w:vAlign w:val="center"/>
            <w:shd w:fill="FFFFFF"/>
            <w:tcMar>
              <w:top w:w="85" w:type="dxa"/>
              <w:left w:w="85" w:type="dxa"/>
              <w:bottom w:w="85" w:type="dxa"/>
              <w:right w:w="85" w:type="dxa"/>
            </w:tcMar>
          </w:tcPr>
          <w:p>
            <w:pPr>
              <w:spacing w:after="60" w:line="252" w:lineRule="auto"/>
            </w:pPr>
            <w:r>
              <w:rPr>
                <w:b w:val="0"/>
                <w:color w:val="000000"/>
                <w:sz w:val="18"/>
              </w:rPr>
              <w:t>Cash flow +9.3%; capex +80.2%, including lease principal.[1–2; calculation]</w:t>
            </w:r>
          </w:p>
        </w:tc>
      </w:tr>
      <w:tr>
        <w:trPr>
          <w:cantSplit/>
        </w:trPr>
        <w:tc>
          <w:tcPr>
            <w:tcW w:type="dxa" w:w="1656"/>
            <w:vAlign w:val="center"/>
            <w:shd w:fill="F1F5F8"/>
            <w:tcMar>
              <w:top w:w="85" w:type="dxa"/>
              <w:left w:w="85" w:type="dxa"/>
              <w:bottom w:w="85" w:type="dxa"/>
              <w:right w:w="85" w:type="dxa"/>
            </w:tcMar>
          </w:tcPr>
          <w:p>
            <w:pPr>
              <w:spacing w:after="60" w:line="252" w:lineRule="auto"/>
            </w:pPr>
            <w:r>
              <w:rPr>
                <w:b w:val="0"/>
                <w:color w:val="000000"/>
                <w:sz w:val="18"/>
              </w:rPr>
              <w:t>Depreciation and amortization</w:t>
            </w:r>
          </w:p>
        </w:tc>
        <w:tc>
          <w:tcPr>
            <w:tcW w:type="dxa" w:w="1800"/>
            <w:vAlign w:val="center"/>
            <w:shd w:fill="F1F5F8"/>
            <w:tcMar>
              <w:top w:w="85" w:type="dxa"/>
              <w:left w:w="85" w:type="dxa"/>
              <w:bottom w:w="85" w:type="dxa"/>
              <w:right w:w="85" w:type="dxa"/>
            </w:tcMar>
          </w:tcPr>
          <w:p>
            <w:pPr>
              <w:spacing w:after="60" w:line="252" w:lineRule="auto"/>
            </w:pPr>
            <w:r>
              <w:rPr>
                <w:b w:val="0"/>
                <w:color w:val="000000"/>
                <w:sz w:val="18"/>
              </w:rPr>
              <w:t>$7.154bn</w:t>
            </w:r>
          </w:p>
        </w:tc>
        <w:tc>
          <w:tcPr>
            <w:tcW w:type="dxa" w:w="1944"/>
            <w:vAlign w:val="center"/>
            <w:shd w:fill="F1F5F8"/>
            <w:tcMar>
              <w:top w:w="85" w:type="dxa"/>
              <w:left w:w="85" w:type="dxa"/>
              <w:bottom w:w="85" w:type="dxa"/>
              <w:right w:w="85" w:type="dxa"/>
            </w:tcMar>
          </w:tcPr>
          <w:p>
            <w:pPr>
              <w:spacing w:after="60" w:line="252" w:lineRule="auto"/>
            </w:pPr>
            <w:r>
              <w:rPr>
                <w:b w:val="0"/>
                <w:color w:val="000000"/>
                <w:sz w:val="18"/>
              </w:rPr>
              <w:t>$4.963bn; +44.1%</w:t>
            </w:r>
          </w:p>
        </w:tc>
        <w:tc>
          <w:tcPr>
            <w:tcW w:type="dxa" w:w="4680"/>
            <w:vAlign w:val="center"/>
            <w:shd w:fill="F1F5F8"/>
            <w:tcMar>
              <w:top w:w="85" w:type="dxa"/>
              <w:left w:w="85" w:type="dxa"/>
              <w:bottom w:w="85" w:type="dxa"/>
              <w:right w:w="85" w:type="dxa"/>
            </w:tcMar>
          </w:tcPr>
          <w:p>
            <w:pPr>
              <w:spacing w:after="60" w:line="252" w:lineRule="auto"/>
            </w:pPr>
            <w:r>
              <w:rPr>
                <w:b w:val="0"/>
                <w:color w:val="000000"/>
                <w:sz w:val="18"/>
              </w:rPr>
              <w:t>Consolidated D&amp;A, not verified AI-server depreciation.[1–2; calculation]</w:t>
            </w:r>
          </w:p>
        </w:tc>
      </w:tr>
    </w:tbl>
    <w:p>
      <w:r>
        <w:t>GAAP means U.S. generally accepted accounting principles; EPS is diluted earnings per share. Revenue consensus is media-reported on 21 October 2026; its original cutoff is not provided. The adjustment basis of the reported $6.54 EPS consensus is not independently verified, so no EPS surprise is calculated.[8]</w:t>
      </w:r>
    </w:p>
    <w:p>
      <w:pPr>
        <w:pStyle w:val="Heading2"/>
      </w:pPr>
      <w:r>
        <w:t>Earnings-quality bridge and guidance changes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00"/>
        <w:gridCol w:w="3672"/>
        <w:gridCol w:w="4608"/>
      </w:tblGrid>
      <w:tr>
        <w:trPr>
          <w:tblHeader/>
          <w:cantSplit/>
        </w:trPr>
        <w:tc>
          <w:tcPr>
            <w:tcW w:type="dxa" w:w="1800"/>
            <w:vAlign w:val="center"/>
            <w:shd w:fill="17324D"/>
            <w:tcMar>
              <w:top w:w="85" w:type="dxa"/>
              <w:left w:w="85" w:type="dxa"/>
              <w:bottom w:w="85" w:type="dxa"/>
              <w:right w:w="85" w:type="dxa"/>
            </w:tcMar>
          </w:tcPr>
          <w:p>
            <w:pPr>
              <w:spacing w:after="60" w:line="252" w:lineRule="auto"/>
            </w:pPr>
            <w:r>
              <w:rPr>
                <w:b/>
                <w:color w:val="FFFFFF"/>
                <w:sz w:val="18"/>
              </w:rPr>
              <w:t>Item</w:t>
            </w:r>
          </w:p>
        </w:tc>
        <w:tc>
          <w:tcPr>
            <w:tcW w:type="dxa" w:w="3672"/>
            <w:vAlign w:val="center"/>
            <w:shd w:fill="17324D"/>
            <w:tcMar>
              <w:top w:w="85" w:type="dxa"/>
              <w:left w:w="85" w:type="dxa"/>
              <w:bottom w:w="85" w:type="dxa"/>
              <w:right w:w="85" w:type="dxa"/>
            </w:tcMar>
          </w:tcPr>
          <w:p>
            <w:pPr>
              <w:spacing w:after="60" w:line="252" w:lineRule="auto"/>
            </w:pPr>
            <w:r>
              <w:rPr>
                <w:b/>
                <w:color w:val="FFFFFF"/>
                <w:sz w:val="18"/>
              </w:rPr>
              <w:t>Bridge or range</w:t>
            </w:r>
          </w:p>
        </w:tc>
        <w:tc>
          <w:tcPr>
            <w:tcW w:type="dxa" w:w="4608"/>
            <w:vAlign w:val="center"/>
            <w:shd w:fill="17324D"/>
            <w:tcMar>
              <w:top w:w="85" w:type="dxa"/>
              <w:left w:w="85" w:type="dxa"/>
              <w:bottom w:w="85" w:type="dxa"/>
              <w:right w:w="85" w:type="dxa"/>
            </w:tcMar>
          </w:tcPr>
          <w:p>
            <w:pPr>
              <w:spacing w:after="60" w:line="252" w:lineRule="auto"/>
            </w:pPr>
            <w:r>
              <w:rPr>
                <w:b/>
                <w:color w:val="FFFFFF"/>
                <w:sz w:val="18"/>
              </w:rPr>
              <w:t>Research treatment</w:t>
            </w:r>
          </w:p>
        </w:tc>
      </w:tr>
      <w:tr>
        <w:trPr>
          <w:cantSplit/>
        </w:trPr>
        <w:tc>
          <w:tcPr>
            <w:tcW w:type="dxa" w:w="1800"/>
            <w:vAlign w:val="center"/>
            <w:shd w:fill="FFFFFF"/>
            <w:tcMar>
              <w:top w:w="85" w:type="dxa"/>
              <w:left w:w="85" w:type="dxa"/>
              <w:bottom w:w="85" w:type="dxa"/>
              <w:right w:w="85" w:type="dxa"/>
            </w:tcMar>
          </w:tcPr>
          <w:p>
            <w:pPr>
              <w:spacing w:after="60" w:line="252" w:lineRule="auto"/>
            </w:pPr>
            <w:r>
              <w:rPr>
                <w:b w:val="0"/>
                <w:color w:val="000000"/>
                <w:sz w:val="18"/>
              </w:rPr>
              <w:t>Q3 2026 EPS</w:t>
            </w:r>
          </w:p>
        </w:tc>
        <w:tc>
          <w:tcPr>
            <w:tcW w:type="dxa" w:w="3672"/>
            <w:vAlign w:val="center"/>
            <w:shd w:fill="FFFFFF"/>
            <w:tcMar>
              <w:top w:w="85" w:type="dxa"/>
              <w:left w:w="85" w:type="dxa"/>
              <w:bottom w:w="85" w:type="dxa"/>
              <w:right w:w="85" w:type="dxa"/>
            </w:tcMar>
          </w:tcPr>
          <w:p>
            <w:pPr>
              <w:spacing w:after="60" w:line="252" w:lineRule="auto"/>
            </w:pPr>
            <w:r>
              <w:rPr>
                <w:b w:val="0"/>
                <w:color w:val="000000"/>
                <w:sz w:val="18"/>
              </w:rPr>
              <w:t>GAAP $3.83 + $3.57 after-tax litigation impact = $7.40</w:t>
            </w:r>
          </w:p>
        </w:tc>
        <w:tc>
          <w:tcPr>
            <w:tcW w:type="dxa" w:w="4608"/>
            <w:vAlign w:val="center"/>
            <w:shd w:fill="FFFFFF"/>
            <w:tcMar>
              <w:top w:w="85" w:type="dxa"/>
              <w:left w:w="85" w:type="dxa"/>
              <w:bottom w:w="85" w:type="dxa"/>
              <w:right w:w="85" w:type="dxa"/>
            </w:tcMar>
          </w:tcPr>
          <w:p>
            <w:pPr>
              <w:spacing w:after="60" w:line="252" w:lineRule="auto"/>
            </w:pPr>
            <w:r>
              <w:rPr>
                <w:b w:val="0"/>
                <w:color w:val="000000"/>
                <w:sz w:val="18"/>
              </w:rPr>
              <w:t>Company-provided single-item adjustment, not fully recurring EPS.[1]</w:t>
            </w:r>
          </w:p>
        </w:tc>
      </w:tr>
      <w:tr>
        <w:trPr>
          <w:cantSplit/>
        </w:trPr>
        <w:tc>
          <w:tcPr>
            <w:tcW w:type="dxa" w:w="1800"/>
            <w:vAlign w:val="center"/>
            <w:shd w:fill="F1F5F8"/>
            <w:tcMar>
              <w:top w:w="85" w:type="dxa"/>
              <w:left w:w="85" w:type="dxa"/>
              <w:bottom w:w="85" w:type="dxa"/>
              <w:right w:w="85" w:type="dxa"/>
            </w:tcMar>
          </w:tcPr>
          <w:p>
            <w:pPr>
              <w:spacing w:after="60" w:line="252" w:lineRule="auto"/>
            </w:pPr>
            <w:r>
              <w:rPr>
                <w:b w:val="0"/>
                <w:color w:val="000000"/>
                <w:sz w:val="18"/>
              </w:rPr>
              <w:t>Q3 2025 EPS</w:t>
            </w:r>
          </w:p>
        </w:tc>
        <w:tc>
          <w:tcPr>
            <w:tcW w:type="dxa" w:w="3672"/>
            <w:vAlign w:val="center"/>
            <w:shd w:fill="F1F5F8"/>
            <w:tcMar>
              <w:top w:w="85" w:type="dxa"/>
              <w:left w:w="85" w:type="dxa"/>
              <w:bottom w:w="85" w:type="dxa"/>
              <w:right w:w="85" w:type="dxa"/>
            </w:tcMar>
          </w:tcPr>
          <w:p>
            <w:pPr>
              <w:spacing w:after="60" w:line="252" w:lineRule="auto"/>
            </w:pPr>
            <w:r>
              <w:rPr>
                <w:b w:val="0"/>
                <w:color w:val="000000"/>
                <w:sz w:val="18"/>
              </w:rPr>
              <w:t>GAAP $1.05 + $6.20 one-time tax charge = $7.25</w:t>
            </w:r>
          </w:p>
        </w:tc>
        <w:tc>
          <w:tcPr>
            <w:tcW w:type="dxa" w:w="4608"/>
            <w:vAlign w:val="center"/>
            <w:shd w:fill="F1F5F8"/>
            <w:tcMar>
              <w:top w:w="85" w:type="dxa"/>
              <w:left w:w="85" w:type="dxa"/>
              <w:bottom w:w="85" w:type="dxa"/>
              <w:right w:w="85" w:type="dxa"/>
            </w:tcMar>
          </w:tcPr>
          <w:p>
            <w:pPr>
              <w:spacing w:after="60" w:line="252" w:lineRule="auto"/>
            </w:pPr>
            <w:r>
              <w:rPr>
                <w:b w:val="0"/>
                <w:color w:val="000000"/>
                <w:sz w:val="18"/>
              </w:rPr>
              <w:t>Like adjustment comparison grows about 2.1%, versus GAAP growth of 265%.[5; calculation]</w:t>
            </w:r>
          </w:p>
        </w:tc>
      </w:tr>
      <w:tr>
        <w:trPr>
          <w:cantSplit/>
        </w:trPr>
        <w:tc>
          <w:tcPr>
            <w:tcW w:type="dxa" w:w="1800"/>
            <w:vAlign w:val="center"/>
            <w:shd w:fill="FFFFFF"/>
            <w:tcMar>
              <w:top w:w="85" w:type="dxa"/>
              <w:left w:w="85" w:type="dxa"/>
              <w:bottom w:w="85" w:type="dxa"/>
              <w:right w:w="85" w:type="dxa"/>
            </w:tcMar>
          </w:tcPr>
          <w:p>
            <w:pPr>
              <w:spacing w:after="60" w:line="252" w:lineRule="auto"/>
            </w:pPr>
            <w:r>
              <w:rPr>
                <w:b w:val="0"/>
                <w:color w:val="000000"/>
                <w:sz w:val="18"/>
              </w:rPr>
              <w:t>Tax quality</w:t>
            </w:r>
          </w:p>
        </w:tc>
        <w:tc>
          <w:tcPr>
            <w:tcW w:type="dxa" w:w="3672"/>
            <w:vAlign w:val="center"/>
            <w:shd w:fill="FFFFFF"/>
            <w:tcMar>
              <w:top w:w="85" w:type="dxa"/>
              <w:left w:w="85" w:type="dxa"/>
              <w:bottom w:w="85" w:type="dxa"/>
              <w:right w:w="85" w:type="dxa"/>
            </w:tcMar>
          </w:tcPr>
          <w:p>
            <w:pPr>
              <w:spacing w:after="60" w:line="252" w:lineRule="auto"/>
            </w:pPr>
            <w:r>
              <w:rPr>
                <w:b w:val="0"/>
                <w:color w:val="000000"/>
                <w:sz w:val="18"/>
              </w:rPr>
              <w:t>24% reported; 17% ex-litigation; 14% prior year ex-tax charge</w:t>
            </w:r>
          </w:p>
        </w:tc>
        <w:tc>
          <w:tcPr>
            <w:tcW w:type="dxa" w:w="4608"/>
            <w:vAlign w:val="center"/>
            <w:shd w:fill="FFFFFF"/>
            <w:tcMar>
              <w:top w:w="85" w:type="dxa"/>
              <w:left w:w="85" w:type="dxa"/>
              <w:bottom w:w="85" w:type="dxa"/>
              <w:right w:w="85" w:type="dxa"/>
            </w:tcMar>
          </w:tcPr>
          <w:p>
            <w:pPr>
              <w:spacing w:after="60" w:line="252" w:lineRule="auto"/>
            </w:pPr>
            <w:r>
              <w:rPr>
                <w:b w:val="0"/>
                <w:color w:val="000000"/>
                <w:sz w:val="18"/>
              </w:rPr>
              <w:t>Tax rates still differ; stock compensation remains an economic expense.[1,5]</w:t>
            </w:r>
          </w:p>
        </w:tc>
      </w:tr>
      <w:tr>
        <w:trPr>
          <w:cantSplit/>
        </w:trPr>
        <w:tc>
          <w:tcPr>
            <w:tcW w:type="dxa" w:w="1800"/>
            <w:vAlign w:val="center"/>
            <w:shd w:fill="F1F5F8"/>
            <w:tcMar>
              <w:top w:w="85" w:type="dxa"/>
              <w:left w:w="85" w:type="dxa"/>
              <w:bottom w:w="85" w:type="dxa"/>
              <w:right w:w="85" w:type="dxa"/>
            </w:tcMar>
          </w:tcPr>
          <w:p>
            <w:pPr>
              <w:spacing w:after="60" w:line="252" w:lineRule="auto"/>
            </w:pPr>
            <w:r>
              <w:rPr>
                <w:b w:val="0"/>
                <w:color w:val="000000"/>
                <w:sz w:val="18"/>
              </w:rPr>
              <w:t>Shares and non-operating items</w:t>
            </w:r>
          </w:p>
        </w:tc>
        <w:tc>
          <w:tcPr>
            <w:tcW w:type="dxa" w:w="3672"/>
            <w:vAlign w:val="center"/>
            <w:shd w:fill="F1F5F8"/>
            <w:tcMar>
              <w:top w:w="85" w:type="dxa"/>
              <w:left w:w="85" w:type="dxa"/>
              <w:bottom w:w="85" w:type="dxa"/>
              <w:right w:w="85" w:type="dxa"/>
            </w:tcMar>
          </w:tcPr>
          <w:p>
            <w:pPr>
              <w:spacing w:after="60" w:line="252" w:lineRule="auto"/>
            </w:pPr>
            <w:r>
              <w:rPr>
                <w:b w:val="0"/>
                <w:color w:val="000000"/>
                <w:sz w:val="18"/>
              </w:rPr>
              <w:t>2.573bn diluted shares vs 2.572bn; interest/other income $0.013bn vs $1.128bn</w:t>
            </w:r>
          </w:p>
        </w:tc>
        <w:tc>
          <w:tcPr>
            <w:tcW w:type="dxa" w:w="4608"/>
            <w:vAlign w:val="center"/>
            <w:shd w:fill="F1F5F8"/>
            <w:tcMar>
              <w:top w:w="85" w:type="dxa"/>
              <w:left w:w="85" w:type="dxa"/>
              <w:bottom w:w="85" w:type="dxa"/>
              <w:right w:w="85" w:type="dxa"/>
            </w:tcMar>
          </w:tcPr>
          <w:p>
            <w:pPr>
              <w:spacing w:after="60" w:line="252" w:lineRule="auto"/>
            </w:pPr>
            <w:r>
              <w:rPr>
                <w:b w:val="0"/>
                <w:color w:val="000000"/>
                <w:sz w:val="18"/>
              </w:rPr>
              <w:t>Shares broadly stable; non-operating income fell. No invented fully clean EPS.[1–2]</w:t>
            </w:r>
          </w:p>
        </w:tc>
      </w:tr>
      <w:tr>
        <w:trPr>
          <w:cantSplit/>
        </w:trPr>
        <w:tc>
          <w:tcPr>
            <w:tcW w:type="dxa" w:w="1800"/>
            <w:vAlign w:val="center"/>
            <w:shd w:fill="FFFFFF"/>
            <w:tcMar>
              <w:top w:w="85" w:type="dxa"/>
              <w:left w:w="85" w:type="dxa"/>
              <w:bottom w:w="85" w:type="dxa"/>
              <w:right w:w="85" w:type="dxa"/>
            </w:tcMar>
          </w:tcPr>
          <w:p>
            <w:pPr>
              <w:spacing w:after="60" w:line="252" w:lineRule="auto"/>
            </w:pPr>
            <w:r>
              <w:rPr>
                <w:b w:val="0"/>
                <w:color w:val="000000"/>
                <w:sz w:val="18"/>
              </w:rPr>
              <w:t>Q4 revenue guidance</w:t>
            </w:r>
          </w:p>
        </w:tc>
        <w:tc>
          <w:tcPr>
            <w:tcW w:type="dxa" w:w="3672"/>
            <w:vAlign w:val="center"/>
            <w:shd w:fill="FFFFFF"/>
            <w:tcMar>
              <w:top w:w="85" w:type="dxa"/>
              <w:left w:w="85" w:type="dxa"/>
              <w:bottom w:w="85" w:type="dxa"/>
              <w:right w:w="85" w:type="dxa"/>
            </w:tcMar>
          </w:tcPr>
          <w:p>
            <w:pPr>
              <w:spacing w:after="60" w:line="252" w:lineRule="auto"/>
            </w:pPr>
            <w:r>
              <w:rPr>
                <w:b w:val="0"/>
                <w:color w:val="000000"/>
                <w:sz w:val="18"/>
              </w:rPr>
              <w:t>$73–76bn; midpoint $74.5bn</w:t>
            </w:r>
          </w:p>
        </w:tc>
        <w:tc>
          <w:tcPr>
            <w:tcW w:type="dxa" w:w="4608"/>
            <w:vAlign w:val="center"/>
            <w:shd w:fill="FFFFFF"/>
            <w:tcMar>
              <w:top w:w="85" w:type="dxa"/>
              <w:left w:w="85" w:type="dxa"/>
              <w:bottom w:w="85" w:type="dxa"/>
              <w:right w:w="85" w:type="dxa"/>
            </w:tcMar>
          </w:tcPr>
          <w:p>
            <w:pPr>
              <w:spacing w:after="60" w:line="252" w:lineRule="auto"/>
            </w:pPr>
            <w:r>
              <w:rPr>
                <w:b w:val="0"/>
                <w:color w:val="000000"/>
                <w:sz w:val="18"/>
              </w:rPr>
              <w:t>About 1.0% above media-reported $73.75bn Visible Alpha consensus; not annual guidance.[1,7; calculation]</w:t>
            </w:r>
          </w:p>
        </w:tc>
      </w:tr>
      <w:tr>
        <w:trPr>
          <w:cantSplit/>
        </w:trPr>
        <w:tc>
          <w:tcPr>
            <w:tcW w:type="dxa" w:w="1800"/>
            <w:vAlign w:val="center"/>
            <w:shd w:fill="F1F5F8"/>
            <w:tcMar>
              <w:top w:w="85" w:type="dxa"/>
              <w:left w:w="85" w:type="dxa"/>
              <w:bottom w:w="85" w:type="dxa"/>
              <w:right w:w="85" w:type="dxa"/>
            </w:tcMar>
          </w:tcPr>
          <w:p>
            <w:pPr>
              <w:spacing w:after="60" w:line="252" w:lineRule="auto"/>
            </w:pPr>
            <w:r>
              <w:rPr>
                <w:b w:val="0"/>
                <w:color w:val="000000"/>
                <w:sz w:val="18"/>
              </w:rPr>
              <w:t>2026 capex guidance</w:t>
            </w:r>
          </w:p>
        </w:tc>
        <w:tc>
          <w:tcPr>
            <w:tcW w:type="dxa" w:w="3672"/>
            <w:vAlign w:val="center"/>
            <w:shd w:fill="F1F5F8"/>
            <w:tcMar>
              <w:top w:w="85" w:type="dxa"/>
              <w:left w:w="85" w:type="dxa"/>
              <w:bottom w:w="85" w:type="dxa"/>
              <w:right w:w="85" w:type="dxa"/>
            </w:tcMar>
          </w:tcPr>
          <w:p>
            <w:pPr>
              <w:spacing w:after="60" w:line="252" w:lineRule="auto"/>
            </w:pPr>
            <w:r>
              <w:rPr>
                <w:b w:val="0"/>
                <w:color w:val="000000"/>
                <w:sz w:val="18"/>
              </w:rPr>
              <w:t>$135–145bn, previously $130–145bn</w:t>
            </w:r>
          </w:p>
        </w:tc>
        <w:tc>
          <w:tcPr>
            <w:tcW w:type="dxa" w:w="4608"/>
            <w:vAlign w:val="center"/>
            <w:shd w:fill="F1F5F8"/>
            <w:tcMar>
              <w:top w:w="85" w:type="dxa"/>
              <w:left w:w="85" w:type="dxa"/>
              <w:bottom w:w="85" w:type="dxa"/>
              <w:right w:w="85" w:type="dxa"/>
            </w:tcMar>
          </w:tcPr>
          <w:p>
            <w:pPr>
              <w:spacing w:after="60" w:line="252" w:lineRule="auto"/>
            </w:pPr>
            <w:r>
              <w:rPr>
                <w:b w:val="0"/>
                <w:color w:val="000000"/>
                <w:sz w:val="18"/>
              </w:rPr>
              <w:t>Lower bound +$5bn; midpoint rises from $137.5bn to $140bn.[1; calculation]</w:t>
            </w:r>
          </w:p>
        </w:tc>
      </w:tr>
    </w:tbl>
    <w:p>
      <w:r>
        <w:t>Quarterly stock-based compensation was $7.363bn, up 32.5%. Its operating cash-flow add-back does not eliminate dilution or its economic cost.[1–2; calculation]</w:t>
      </w:r>
    </w:p>
    <w:p>
      <w:pPr>
        <w:pStyle w:val="Heading2"/>
      </w:pPr>
      <w:r>
        <w:t>Valuation and cash-flow sensitivities  assumptions only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5040"/>
        <w:gridCol w:w="1685"/>
        <w:gridCol w:w="1670"/>
        <w:gridCol w:w="1685"/>
      </w:tblGrid>
      <w:tr>
        <w:trPr>
          <w:tblHeader/>
          <w:cantSplit/>
        </w:trPr>
        <w:tc>
          <w:tcPr>
            <w:tcW w:type="dxa" w:w="5040"/>
            <w:vAlign w:val="center"/>
            <w:shd w:fill="17324D"/>
            <w:tcMar>
              <w:top w:w="85" w:type="dxa"/>
              <w:left w:w="85" w:type="dxa"/>
              <w:bottom w:w="85" w:type="dxa"/>
              <w:right w:w="85" w:type="dxa"/>
            </w:tcMar>
          </w:tcPr>
          <w:p>
            <w:pPr>
              <w:spacing w:after="60" w:line="252" w:lineRule="auto"/>
            </w:pPr>
            <w:r>
              <w:rPr>
                <w:b/>
                <w:color w:val="FFFFFF"/>
                <w:sz w:val="18"/>
              </w:rPr>
              <w:t>Assumption</w:t>
            </w:r>
          </w:p>
        </w:tc>
        <w:tc>
          <w:tcPr>
            <w:tcW w:type="dxa" w:w="1685"/>
            <w:vAlign w:val="center"/>
            <w:shd w:fill="17324D"/>
            <w:tcMar>
              <w:top w:w="85" w:type="dxa"/>
              <w:left w:w="85" w:type="dxa"/>
              <w:bottom w:w="85" w:type="dxa"/>
              <w:right w:w="85" w:type="dxa"/>
            </w:tcMar>
          </w:tcPr>
          <w:p>
            <w:pPr>
              <w:spacing w:after="60" w:line="252" w:lineRule="auto"/>
            </w:pPr>
            <w:r>
              <w:rPr>
                <w:b/>
                <w:color w:val="FFFFFF"/>
                <w:sz w:val="18"/>
              </w:rPr>
              <w:t>Low multiple or spending</w:t>
            </w:r>
          </w:p>
        </w:tc>
        <w:tc>
          <w:tcPr>
            <w:tcW w:type="dxa" w:w="1670"/>
            <w:vAlign w:val="center"/>
            <w:shd w:fill="17324D"/>
            <w:tcMar>
              <w:top w:w="85" w:type="dxa"/>
              <w:left w:w="85" w:type="dxa"/>
              <w:bottom w:w="85" w:type="dxa"/>
              <w:right w:w="85" w:type="dxa"/>
            </w:tcMar>
          </w:tcPr>
          <w:p>
            <w:pPr>
              <w:spacing w:after="60" w:line="252" w:lineRule="auto"/>
            </w:pPr>
            <w:r>
              <w:rPr>
                <w:b/>
                <w:color w:val="FFFFFF"/>
                <w:sz w:val="18"/>
              </w:rPr>
              <w:t>Middle</w:t>
            </w:r>
          </w:p>
        </w:tc>
        <w:tc>
          <w:tcPr>
            <w:tcW w:type="dxa" w:w="1685"/>
            <w:vAlign w:val="center"/>
            <w:shd w:fill="17324D"/>
            <w:tcMar>
              <w:top w:w="85" w:type="dxa"/>
              <w:left w:w="85" w:type="dxa"/>
              <w:bottom w:w="85" w:type="dxa"/>
              <w:right w:w="85" w:type="dxa"/>
            </w:tcMar>
          </w:tcPr>
          <w:p>
            <w:pPr>
              <w:spacing w:after="60" w:line="252" w:lineRule="auto"/>
            </w:pPr>
            <w:r>
              <w:rPr>
                <w:b/>
                <w:color w:val="FFFFFF"/>
                <w:sz w:val="18"/>
              </w:rPr>
              <w:t>High multiple or spending</w:t>
            </w:r>
          </w:p>
        </w:tc>
      </w:tr>
      <w:tr>
        <w:trPr>
          <w:cantSplit/>
        </w:trPr>
        <w:tc>
          <w:tcPr>
            <w:tcW w:type="dxa" w:w="5040"/>
            <w:vAlign w:val="center"/>
            <w:shd w:fill="FFFFFF"/>
            <w:tcMar>
              <w:top w:w="85" w:type="dxa"/>
              <w:left w:w="85" w:type="dxa"/>
              <w:bottom w:w="85" w:type="dxa"/>
              <w:right w:w="85" w:type="dxa"/>
            </w:tcMar>
          </w:tcPr>
          <w:p>
            <w:pPr>
              <w:spacing w:after="60" w:line="252" w:lineRule="auto"/>
            </w:pPr>
            <w:r>
              <w:rPr>
                <w:b w:val="0"/>
                <w:color w:val="000000"/>
                <w:sz w:val="18"/>
              </w:rPr>
              <w:t>Normalized annual EPS $28 × P/E 20 / 25 / 30</w:t>
            </w:r>
          </w:p>
        </w:tc>
        <w:tc>
          <w:tcPr>
            <w:tcW w:type="dxa" w:w="1685"/>
            <w:vAlign w:val="center"/>
            <w:shd w:fill="FFFFFF"/>
            <w:tcMar>
              <w:top w:w="85" w:type="dxa"/>
              <w:left w:w="85" w:type="dxa"/>
              <w:bottom w:w="85" w:type="dxa"/>
              <w:right w:w="85" w:type="dxa"/>
            </w:tcMar>
          </w:tcPr>
          <w:p>
            <w:pPr>
              <w:spacing w:after="60" w:line="252" w:lineRule="auto"/>
            </w:pPr>
            <w:r>
              <w:rPr>
                <w:b w:val="0"/>
                <w:color w:val="000000"/>
                <w:sz w:val="18"/>
              </w:rPr>
              <w:t>$560</w:t>
            </w:r>
          </w:p>
        </w:tc>
        <w:tc>
          <w:tcPr>
            <w:tcW w:type="dxa" w:w="1670"/>
            <w:vAlign w:val="center"/>
            <w:shd w:fill="FFFFFF"/>
            <w:tcMar>
              <w:top w:w="85" w:type="dxa"/>
              <w:left w:w="85" w:type="dxa"/>
              <w:bottom w:w="85" w:type="dxa"/>
              <w:right w:w="85" w:type="dxa"/>
            </w:tcMar>
          </w:tcPr>
          <w:p>
            <w:pPr>
              <w:spacing w:after="60" w:line="252" w:lineRule="auto"/>
            </w:pPr>
            <w:r>
              <w:rPr>
                <w:b w:val="0"/>
                <w:color w:val="000000"/>
                <w:sz w:val="18"/>
              </w:rPr>
              <w:t>$700</w:t>
            </w:r>
          </w:p>
        </w:tc>
        <w:tc>
          <w:tcPr>
            <w:tcW w:type="dxa" w:w="1685"/>
            <w:vAlign w:val="center"/>
            <w:shd w:fill="FFFFFF"/>
            <w:tcMar>
              <w:top w:w="85" w:type="dxa"/>
              <w:left w:w="85" w:type="dxa"/>
              <w:bottom w:w="85" w:type="dxa"/>
              <w:right w:w="85" w:type="dxa"/>
            </w:tcMar>
          </w:tcPr>
          <w:p>
            <w:pPr>
              <w:spacing w:after="60" w:line="252" w:lineRule="auto"/>
            </w:pPr>
            <w:r>
              <w:rPr>
                <w:b w:val="0"/>
                <w:color w:val="000000"/>
                <w:sz w:val="18"/>
              </w:rPr>
              <w:t>$840</w:t>
            </w:r>
          </w:p>
        </w:tc>
      </w:tr>
      <w:tr>
        <w:trPr>
          <w:cantSplit/>
        </w:trPr>
        <w:tc>
          <w:tcPr>
            <w:tcW w:type="dxa" w:w="5040"/>
            <w:vAlign w:val="center"/>
            <w:shd w:fill="F1F5F8"/>
            <w:tcMar>
              <w:top w:w="85" w:type="dxa"/>
              <w:left w:w="85" w:type="dxa"/>
              <w:bottom w:w="85" w:type="dxa"/>
              <w:right w:w="85" w:type="dxa"/>
            </w:tcMar>
          </w:tcPr>
          <w:p>
            <w:pPr>
              <w:spacing w:after="60" w:line="252" w:lineRule="auto"/>
            </w:pPr>
            <w:r>
              <w:rPr>
                <w:b w:val="0"/>
                <w:color w:val="000000"/>
                <w:sz w:val="18"/>
              </w:rPr>
              <w:t>Normalized annual EPS $32 × P/E 20 / 25 / 30</w:t>
            </w:r>
          </w:p>
        </w:tc>
        <w:tc>
          <w:tcPr>
            <w:tcW w:type="dxa" w:w="1685"/>
            <w:vAlign w:val="center"/>
            <w:shd w:fill="F1F5F8"/>
            <w:tcMar>
              <w:top w:w="85" w:type="dxa"/>
              <w:left w:w="85" w:type="dxa"/>
              <w:bottom w:w="85" w:type="dxa"/>
              <w:right w:w="85" w:type="dxa"/>
            </w:tcMar>
          </w:tcPr>
          <w:p>
            <w:pPr>
              <w:spacing w:after="60" w:line="252" w:lineRule="auto"/>
            </w:pPr>
            <w:r>
              <w:rPr>
                <w:b w:val="0"/>
                <w:color w:val="000000"/>
                <w:sz w:val="18"/>
              </w:rPr>
              <w:t>$640</w:t>
            </w:r>
          </w:p>
        </w:tc>
        <w:tc>
          <w:tcPr>
            <w:tcW w:type="dxa" w:w="1670"/>
            <w:vAlign w:val="center"/>
            <w:shd w:fill="F1F5F8"/>
            <w:tcMar>
              <w:top w:w="85" w:type="dxa"/>
              <w:left w:w="85" w:type="dxa"/>
              <w:bottom w:w="85" w:type="dxa"/>
              <w:right w:w="85" w:type="dxa"/>
            </w:tcMar>
          </w:tcPr>
          <w:p>
            <w:pPr>
              <w:spacing w:after="60" w:line="252" w:lineRule="auto"/>
            </w:pPr>
            <w:r>
              <w:rPr>
                <w:b w:val="0"/>
                <w:color w:val="000000"/>
                <w:sz w:val="18"/>
              </w:rPr>
              <w:t>$800</w:t>
            </w:r>
          </w:p>
        </w:tc>
        <w:tc>
          <w:tcPr>
            <w:tcW w:type="dxa" w:w="1685"/>
            <w:vAlign w:val="center"/>
            <w:shd w:fill="F1F5F8"/>
            <w:tcMar>
              <w:top w:w="85" w:type="dxa"/>
              <w:left w:w="85" w:type="dxa"/>
              <w:bottom w:w="85" w:type="dxa"/>
              <w:right w:w="85" w:type="dxa"/>
            </w:tcMar>
          </w:tcPr>
          <w:p>
            <w:pPr>
              <w:spacing w:after="60" w:line="252" w:lineRule="auto"/>
            </w:pPr>
            <w:r>
              <w:rPr>
                <w:b w:val="0"/>
                <w:color w:val="000000"/>
                <w:sz w:val="18"/>
              </w:rPr>
              <w:t>$960</w:t>
            </w:r>
          </w:p>
        </w:tc>
      </w:tr>
      <w:tr>
        <w:trPr>
          <w:cantSplit/>
        </w:trPr>
        <w:tc>
          <w:tcPr>
            <w:tcW w:type="dxa" w:w="5040"/>
            <w:vAlign w:val="center"/>
            <w:shd w:fill="FFFFFF"/>
            <w:tcMar>
              <w:top w:w="85" w:type="dxa"/>
              <w:left w:w="85" w:type="dxa"/>
              <w:bottom w:w="85" w:type="dxa"/>
              <w:right w:w="85" w:type="dxa"/>
            </w:tcMar>
          </w:tcPr>
          <w:p>
            <w:pPr>
              <w:spacing w:after="60" w:line="252" w:lineRule="auto"/>
            </w:pPr>
            <w:r>
              <w:rPr>
                <w:b w:val="0"/>
                <w:color w:val="000000"/>
                <w:sz w:val="18"/>
              </w:rPr>
              <w:t>Normalized annual EPS $36 × P/E 20 / 25 / 30</w:t>
            </w:r>
          </w:p>
        </w:tc>
        <w:tc>
          <w:tcPr>
            <w:tcW w:type="dxa" w:w="1685"/>
            <w:vAlign w:val="center"/>
            <w:shd w:fill="FFFFFF"/>
            <w:tcMar>
              <w:top w:w="85" w:type="dxa"/>
              <w:left w:w="85" w:type="dxa"/>
              <w:bottom w:w="85" w:type="dxa"/>
              <w:right w:w="85" w:type="dxa"/>
            </w:tcMar>
          </w:tcPr>
          <w:p>
            <w:pPr>
              <w:spacing w:after="60" w:line="252" w:lineRule="auto"/>
            </w:pPr>
            <w:r>
              <w:rPr>
                <w:b w:val="0"/>
                <w:color w:val="000000"/>
                <w:sz w:val="18"/>
              </w:rPr>
              <w:t>$720</w:t>
            </w:r>
          </w:p>
        </w:tc>
        <w:tc>
          <w:tcPr>
            <w:tcW w:type="dxa" w:w="1670"/>
            <w:vAlign w:val="center"/>
            <w:shd w:fill="FFFFFF"/>
            <w:tcMar>
              <w:top w:w="85" w:type="dxa"/>
              <w:left w:w="85" w:type="dxa"/>
              <w:bottom w:w="85" w:type="dxa"/>
              <w:right w:w="85" w:type="dxa"/>
            </w:tcMar>
          </w:tcPr>
          <w:p>
            <w:pPr>
              <w:spacing w:after="60" w:line="252" w:lineRule="auto"/>
            </w:pPr>
            <w:r>
              <w:rPr>
                <w:b w:val="0"/>
                <w:color w:val="000000"/>
                <w:sz w:val="18"/>
              </w:rPr>
              <w:t>$900</w:t>
            </w:r>
          </w:p>
        </w:tc>
        <w:tc>
          <w:tcPr>
            <w:tcW w:type="dxa" w:w="1685"/>
            <w:vAlign w:val="center"/>
            <w:shd w:fill="FFFFFF"/>
            <w:tcMar>
              <w:top w:w="85" w:type="dxa"/>
              <w:left w:w="85" w:type="dxa"/>
              <w:bottom w:w="85" w:type="dxa"/>
              <w:right w:w="85" w:type="dxa"/>
            </w:tcMar>
          </w:tcPr>
          <w:p>
            <w:pPr>
              <w:spacing w:after="60" w:line="252" w:lineRule="auto"/>
            </w:pPr>
            <w:r>
              <w:rPr>
                <w:b w:val="0"/>
                <w:color w:val="000000"/>
                <w:sz w:val="18"/>
              </w:rPr>
              <w:t>$1,080</w:t>
            </w:r>
          </w:p>
        </w:tc>
      </w:tr>
      <w:tr>
        <w:trPr>
          <w:cantSplit/>
        </w:trPr>
        <w:tc>
          <w:tcPr>
            <w:tcW w:type="dxa" w:w="5040"/>
            <w:vAlign w:val="center"/>
            <w:shd w:fill="F1F5F8"/>
            <w:tcMar>
              <w:top w:w="85" w:type="dxa"/>
              <w:left w:w="85" w:type="dxa"/>
              <w:bottom w:w="85" w:type="dxa"/>
              <w:right w:w="85" w:type="dxa"/>
            </w:tcMar>
          </w:tcPr>
          <w:p>
            <w:pPr>
              <w:spacing w:after="60" w:line="252" w:lineRule="auto"/>
            </w:pPr>
            <w:r>
              <w:rPr>
                <w:b w:val="0"/>
                <w:color w:val="000000"/>
                <w:sz w:val="18"/>
              </w:rPr>
              <w:t>Annual operating cash flow $140bn less capex $140 / $170 / $200bn</w:t>
            </w:r>
          </w:p>
        </w:tc>
        <w:tc>
          <w:tcPr>
            <w:tcW w:type="dxa" w:w="1685"/>
            <w:vAlign w:val="center"/>
            <w:shd w:fill="F1F5F8"/>
            <w:tcMar>
              <w:top w:w="85" w:type="dxa"/>
              <w:left w:w="85" w:type="dxa"/>
              <w:bottom w:w="85" w:type="dxa"/>
              <w:right w:w="85" w:type="dxa"/>
            </w:tcMar>
          </w:tcPr>
          <w:p>
            <w:pPr>
              <w:spacing w:after="60" w:line="252" w:lineRule="auto"/>
            </w:pPr>
            <w:r>
              <w:rPr>
                <w:b w:val="0"/>
                <w:color w:val="000000"/>
                <w:sz w:val="18"/>
              </w:rPr>
              <w:t>FCF $0</w:t>
            </w:r>
          </w:p>
        </w:tc>
        <w:tc>
          <w:tcPr>
            <w:tcW w:type="dxa" w:w="1670"/>
            <w:vAlign w:val="center"/>
            <w:shd w:fill="F1F5F8"/>
            <w:tcMar>
              <w:top w:w="85" w:type="dxa"/>
              <w:left w:w="85" w:type="dxa"/>
              <w:bottom w:w="85" w:type="dxa"/>
              <w:right w:w="85" w:type="dxa"/>
            </w:tcMar>
          </w:tcPr>
          <w:p>
            <w:pPr>
              <w:spacing w:after="60" w:line="252" w:lineRule="auto"/>
            </w:pPr>
            <w:r>
              <w:rPr>
                <w:b w:val="0"/>
                <w:color w:val="000000"/>
                <w:sz w:val="18"/>
              </w:rPr>
              <w:t>FCF −$30bn</w:t>
            </w:r>
          </w:p>
        </w:tc>
        <w:tc>
          <w:tcPr>
            <w:tcW w:type="dxa" w:w="1685"/>
            <w:vAlign w:val="center"/>
            <w:shd w:fill="F1F5F8"/>
            <w:tcMar>
              <w:top w:w="85" w:type="dxa"/>
              <w:left w:w="85" w:type="dxa"/>
              <w:bottom w:w="85" w:type="dxa"/>
              <w:right w:w="85" w:type="dxa"/>
            </w:tcMar>
          </w:tcPr>
          <w:p>
            <w:pPr>
              <w:spacing w:after="60" w:line="252" w:lineRule="auto"/>
            </w:pPr>
            <w:r>
              <w:rPr>
                <w:b w:val="0"/>
                <w:color w:val="000000"/>
                <w:sz w:val="18"/>
              </w:rPr>
              <w:t>FCF −$60bn</w:t>
            </w:r>
          </w:p>
        </w:tc>
      </w:tr>
    </w:tbl>
    <w:p>
      <w:r>
        <w:t>Illustrations, not forecasts, targets or consensus. EPS uses the pre-Class-C-dividend economic share basis; after effectiveness, adjust share count and combined A/C value. Capex includes finance lease principal. FCF excludes acquisition, dividend and other funding needs. Current price and comparable forward consensus were not verified; no expected return is calculated.</w:t>
      </w:r>
    </w:p>
    <w:p>
      <w:pPr>
        <w:pStyle w:val="Heading1"/>
      </w:pPr>
      <w:r>
        <w:t>Supply chain implications</w:t>
      </w:r>
    </w:p>
    <w:p>
      <w:pPr>
        <w:pStyle w:val="Heading2"/>
      </w:pPr>
      <w:r>
        <w:t>Compute and memory</w:t>
      </w:r>
    </w:p>
    <w:p>
      <w:r>
        <w:t>Analytical inference: capacity expansion can support accelerators, servers and memory. Training versus inference, internal versus purchased chips, cloud versus owned capacity, and procurement timing determine allocation. No supplier-share or pricing assumption is supplied, so Meta capex is not apportioned into supplier revenue.</w:t>
      </w:r>
    </w:p>
    <w:p>
      <w:pPr>
        <w:pStyle w:val="Heading2"/>
      </w:pPr>
      <w:r>
        <w:t>Networking and ANET</w:t>
      </w:r>
    </w:p>
    <w:p>
      <w:r>
        <w:t>Disclosed product evidence: Arista Networks (ANET) named Meta among partners for its open Ethernet rack-scale architecture announced on 7 October. Its 9 June 1.6T platform release also included a Meta infrastructure executive’s collaboration statement.[9–10] This provides a specific technical transmission path: dense compute requires both within-rack scale-up and cross-rack scale-out connectivity, linking switching, optics, cooling and power design. Analytical inference: ANET’s opportunity depends on Meta capacity additions, network spending intensity, supplier share and delivery/acceptance timing, rather than Meta’s aggregate capex growth. Neither announcement discloses the incremental Meta order value or corresponding revenue. No numerical ANET earnings upgrade follows. Its next results should verify AI-network revenue, 1.6T deliveries, customer concentration and product margin.</w:t>
      </w:r>
    </w:p>
    <w:p>
      <w:pPr>
        <w:pStyle w:val="Heading2"/>
      </w:pPr>
      <w:r>
        <w:t>Power and cooling</w:t>
      </w:r>
    </w:p>
    <w:p>
      <w:r>
        <w:t>Analytical inference: rising loads may increase electrical and cooling needs, but contracted megawatts are not energized capacity, and energized capacity is not high utilization. Grid access, permits, construction and cost allocation determine realization.</w:t>
      </w:r>
    </w:p>
    <w:p>
      <w:pPr>
        <w:pStyle w:val="Heading2"/>
      </w:pPr>
      <w:r>
        <w:t>Data centers and financing</w:t>
      </w:r>
    </w:p>
    <w:p>
      <w:r>
        <w:t>Analytical inference: land, shells, servers, leases and funding have different cash cycles. Cloud purchases may enter operating expense rather than Meta capex. Supplier revenue depends on contracts, acceptance and its own accounting; $34.906bn of Meta capex is not industry revenue.[1–2]</w:t>
      </w:r>
    </w:p>
    <w:p>
      <w:r>
        <w:t>Industrialization stack: compute → networking and optical → memory → available compute capacity → power and cooling → capital and financing → application revenue and shareholder cash. These are conditional transmission links, not confirmed earnings at every layer.</w:t>
      </w:r>
    </w:p>
    <w:p>
      <w:pPr>
        <w:pStyle w:val="Heading1"/>
      </w:pPr>
      <w:r>
        <w:t>Next verification points</w:t>
      </w:r>
    </w:p>
    <w:p>
      <w:pPr>
        <w:pStyle w:val="Heading2"/>
      </w:pPr>
      <w:r>
        <w:t>Q4 earnings  advertising</w:t>
      </w:r>
    </w:p>
    <w:p>
      <w:r>
        <w:t>Volume, pricing and conversions support revenue and comparable profitability.</w:t>
      </w:r>
    </w:p>
    <w:p>
      <w:r>
        <w:t>Falsifier: Traffic and pricing soften while efficiency fails to cover costs.</w:t>
      </w:r>
    </w:p>
    <w:p>
      <w:pPr>
        <w:pStyle w:val="Heading2"/>
      </w:pPr>
      <w:r>
        <w:t>Q4 earnings  capital efficiency</w:t>
      </w:r>
    </w:p>
    <w:p>
      <w:r>
        <w:t>2027 budget, depreciation, commissioning and operating-cash-flow coverage are disclosed.</w:t>
      </w:r>
    </w:p>
    <w:p>
      <w:r>
        <w:t>Falsifier: Investment keeps outrunning cash generation or lease obligations remain opaque.</w:t>
      </w:r>
    </w:p>
    <w:p>
      <w:pPr>
        <w:pStyle w:val="Heading2"/>
      </w:pPr>
      <w:r>
        <w:t>Product and financing disclosures</w:t>
      </w:r>
    </w:p>
    <w:p>
      <w:r>
        <w:t>Muse paid retention, revenue and unit costs improve; any Class C issuance states size, price and use.</w:t>
      </w:r>
    </w:p>
    <w:p>
      <w:r>
        <w:t>Falsifier: Usage or authorization rises without commercial profit or completed financing.</w:t>
      </w:r>
    </w:p>
    <w:p>
      <w:pPr>
        <w:pStyle w:val="Heading1"/>
      </w:pPr>
      <w:r>
        <w:t>FAQ</w:t>
      </w:r>
    </w:p>
    <w:p>
      <w:pPr>
        <w:pStyle w:val="Heading2"/>
      </w:pPr>
      <w:r>
        <w:t xml:space="preserve">Is AI capex already consuming cash flow </w:t>
      </w:r>
    </w:p>
    <w:p>
      <w:r>
        <w:t>Consolidated capex exceeded quarterly operating cash flow, leaving negative $2.120bn FCF. The spending is not fully separated into AI-only investment, so the entire gap cannot be attributed to AI.[1–2]</w:t>
      </w:r>
    </w:p>
    <w:p>
      <w:pPr>
        <w:pStyle w:val="Heading2"/>
      </w:pPr>
      <w:r>
        <w:t xml:space="preserve">Why is 265% EPS growth misleading </w:t>
      </w:r>
    </w:p>
    <w:p>
      <w:r>
        <w:t>Last year included a one-time tax charge and this year a litigation charge. Excluding those respective items gives $7.25 and $7.40, about 2.1% growth, still without a common tax rate or full recurring normalization.[1,5; calculation]</w:t>
      </w:r>
    </w:p>
    <w:p>
      <w:pPr>
        <w:pStyle w:val="Heading2"/>
      </w:pPr>
      <w:r>
        <w:t xml:space="preserve">Is there a firm 2027 capex number </w:t>
      </w:r>
    </w:p>
    <w:p>
      <w:r>
        <w:t>No numerical range was verified. Management was developing the budget and pointed to the Q4 call for quantitative detail.[3, p15]</w:t>
      </w:r>
    </w:p>
    <w:p>
      <w:pPr>
        <w:pStyle w:val="Heading2"/>
      </w:pPr>
      <w:r>
        <w:t xml:space="preserve">Has Class C already raised hundreds of billions </w:t>
      </w:r>
    </w:p>
    <w:p>
      <w:r>
        <w:t>No. A pro-rata distribution differs from future financing; the follow-up explicitly separated theoretical capacity from present financing plans.[4, pp2–3; 6]</w:t>
      </w:r>
    </w:p>
    <w:p>
      <w:pPr>
        <w:pStyle w:val="Heading2"/>
      </w:pPr>
      <w:r>
        <w:t xml:space="preserve">Can Meta capex growth directly raise ANET revenue estimates </w:t>
      </w:r>
    </w:p>
    <w:p>
      <w:r>
        <w:t>No. Network allocation, architecture, delivery and acceptance need verification in supplier disclosures. Meta’s total capex covers many assets and finance lease principal.</w:t>
      </w:r>
    </w:p>
    <w:p>
      <w:pPr>
        <w:pStyle w:val="Heading1"/>
      </w:pPr>
      <w:r>
        <w:t>Key terms</w:t>
      </w:r>
    </w:p>
    <w:p>
      <w:r>
        <w:t>Free cash flow or FCF  Company-defined non-GAAP operating cash flow less cash PP&amp;E purchases and finance lease principal.</w:t>
      </w:r>
    </w:p>
    <w:p>
      <w:r>
        <w:t>Capital expenditures or capex  Here, company-defined investment including finance lease principal, not all AI expense.</w:t>
      </w:r>
    </w:p>
    <w:p>
      <w:r>
        <w:t>Return on invested capital or ROIC  After-tax operating profit relative to invested capital; AI-specific inputs are incomplete.</w:t>
      </w:r>
    </w:p>
    <w:p>
      <w:r>
        <w:t>Stock-based compensation or SBC  Employee equity compensation whose cash-flow add-back does not remove economic cost.</w:t>
      </w:r>
    </w:p>
    <w:p>
      <w:r>
        <w:t>Class C  Planned non-voting shares; distinguish the pro-rata dividend from later external financing.</w:t>
      </w:r>
    </w:p>
    <w:p>
      <w:pPr>
        <w:pStyle w:val="Heading1"/>
      </w:pPr>
      <w:r>
        <w:t>Audio briefing transcript</w:t>
      </w:r>
    </w:p>
    <w:p>
      <w:r>
        <w:t>Meta’s third-quarter advertising grew about twenty-six percent, but cash returns face a harder test. Operating cash flow was about thirty-two point eight billion dollars, below capex of thirty-four point nine billion including finance lease principal. Free cash flow was negative two point one billion. These are consolidated figures, not AI-only attribution. Litigation this year and a tax charge last year distort earnings growth. Excluding those respective items, EPS increased only from seven dollars twenty-five to seven dollars forty. AI already improves the ad engine, while agent monetization and capital returns need more evidence. Management has not provided numerical 2027 capex guidance. Class C expands funding options; it does not mean cash has already been raised. ANET, compute, networking and power suppliers require independent order and revenue validation. The next report must connect budgets, depreciation, cash coverage and new AI unit economics.</w:t>
      </w:r>
    </w:p>
    <w:p>
      <w:pPr>
        <w:pStyle w:val="Heading1"/>
      </w:pPr>
      <w:r>
        <w:t>Sources and related research</w:t>
      </w:r>
    </w:p>
    <w:p>
      <w:r>
        <w:t>[1] Meta IR | Q3 2026 results and financial tables</w:t>
        <w:br/>
        <w:t>https://investor.atmeta.com/investor-news/press-release-details/2026/Meta-Reports-Third-Quarter-2026-Results/default.aspx</w:t>
      </w:r>
    </w:p>
    <w:p>
      <w:r>
        <w:t>[2] SEC | Q3 2026 earnings Exhibit 99.1</w:t>
        <w:br/>
        <w:t>https://www.sec.gov/Archives/edgar/data/1326801/000162828026066700/meta-09302026xexhibit991.htm</w:t>
      </w:r>
    </w:p>
    <w:p>
      <w:r>
        <w:t>[3] Meta IR | Q3 2026 main earnings call transcript</w:t>
        <w:br/>
        <w:t>https://s21.q4cdn.com/399680738/files/content_files/META-Q3-2026-Earnings-Call-Transcript.pdf</w:t>
      </w:r>
    </w:p>
    <w:p>
      <w:r>
        <w:t>[4] Meta IR | Q3 2026 follow-up call transcript</w:t>
        <w:br/>
        <w:t>https://s21.q4cdn.com/399680738/files/content_files/META-Q3-2026-Follow-Up-Call-Transcript.pdf</w:t>
      </w:r>
    </w:p>
    <w:p>
      <w:r>
        <w:t>[5] Meta IR | Q3 2025 tax-charge reconciliation</w:t>
        <w:br/>
        <w:t>https://investor.atmeta.com/investor-news/press-release-details/2025/Meta-Reports-Third-Quarter-2025-Results/default.aspx</w:t>
      </w:r>
    </w:p>
    <w:p>
      <w:r>
        <w:t>[6] SEC | Class C recapitalization and founder agreement 8-K</w:t>
        <w:br/>
        <w:t>https://www.sec.gov/Archives/edgar/data/1326801/000162828026066700/meta-20261019.htm</w:t>
      </w:r>
    </w:p>
    <w:p>
      <w:r>
        <w:t>[7] Fortune | Visible Alpha revenue consensus comparison</w:t>
        <w:br/>
        <w:t>https://fortune.com/2026/10/21/meta-q3-earnings-mark-zuckerberg-capex-muse/</w:t>
      </w:r>
    </w:p>
    <w:p>
      <w:r>
        <w:t>[8] Barron’s | EPS market-expectation comparison</w:t>
        <w:br/>
        <w:t>https://www.barrons.com/articles/meta-earnings-stock-muse-ai-bc8ca018</w:t>
      </w:r>
    </w:p>
    <w:p>
      <w:r>
        <w:t>[9] Arista | Rack-scale AI networking architectures, 7 October 2026</w:t>
        <w:br/>
        <w:t>https://www.arista.com/en/company/news/press-release/24818-pr-20261007</w:t>
      </w:r>
    </w:p>
    <w:p>
      <w:r>
        <w:t>[10] Arista IR | 1.6T platforms and Meta collaboration, 9 June 2026</w:t>
        <w:br/>
        <w:t>https://investors.arista.com/Communications/Press-Releases-and-Events/Press-Release-Detail/2026/Arista-Introduces-Next-Generation-1-6Terabit-Portfolio-for-AI-Fabrics/default.aspx</w:t>
      </w:r>
    </w:p>
    <w:p>
      <w:r>
        <w:t>Meta Class C capital-structure research</w:t>
        <w:br/>
        <w:t>https://acisresearch.com/en/research/critical-event/meta-class-c-capital-commitments-governance-2026-10-23</w:t>
      </w:r>
    </w:p>
    <w:p>
      <w:r>
        <w:t>AI Infrastructure Weekly: construction and cash validation</w:t>
        <w:br/>
        <w:t>https://acisresearch.com/en/research/ai-infrastructure-weekly-2026-10-21</w:t>
      </w:r>
    </w:p>
    <w:p>
      <w:r>
        <w:t>AI financing: contract quality and the cost of capital</w:t>
        <w:br/>
        <w:t>https://acisresearch.com/en/research/memos/ai-financing-contract-quality-2026-09-14</w:t>
      </w:r>
    </w:p>
    <w:p>
      <w:r>
        <w:t>Back to Investment Intelligence</w:t>
        <w:br/>
        <w:t>https://acisresearch.com/en/investment-intelligence</w:t>
      </w:r>
    </w:p>
    <w:p>
      <w:r>
        <w:t>Research dated 23 October 2026; quarter ended 30 September. Financial data [1–2], prior tax reconciliation [5], guidance and call narrative [3–4], and capital arrangements [6]. Full Q3 10-Q and information-statement schedules were not independently verified. Consensus is a sourced media comparison with no original cutoff provided. Sensitivities are assumptions, not targets. Existing articles and ratings are preserved.</w:t>
      </w:r>
    </w:p>
    <w:sectPr w:rsidR="00FC693F" w:rsidRPr="0006063C" w:rsidSect="00034616">
      <w:pgSz w:w="12240" w:h="15840"/>
      <w:pgMar w:top="979" w:right="1080" w:bottom="979"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Calibri" w:hAnsi="Calibri" w:eastAsia="Noto Sans CJK SC"/>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eastAsia="Noto Sans CJK SC"/>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eastAsia="Noto Sans CJK SC"/>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eastAsia="Noto Sans CJK SC"/>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eastAsia="Noto Sans CJK SC"/>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eastAsia="Noto Sans CJK SC"/>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Meta Q3 2026 Earnings Deep Dive</dc:title>
  <dc:subject>Advertising profitability and AI capital efficiency</dc:subject>
  <dc:creator>ACIS Research</dc:creator>
  <cp:keywords/>
  <dc:description>generated by python-docx</dc:description>
  <cp:lastModifiedBy/>
  <cp:revision>1</cp:revision>
  <dcterms:created xsi:type="dcterms:W3CDTF">2013-12-23T23:15:00Z</dcterms:created>
  <dcterms:modified xsi:type="dcterms:W3CDTF">2013-12-23T23:15:00Z</dcterms:modified>
  <cp:category/>
</cp:coreProperties>
</file>